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EF" w:rsidRPr="008A4AEF" w:rsidRDefault="008A4AEF" w:rsidP="008A4AEF">
      <w:pPr>
        <w:spacing w:before="100" w:beforeAutospacing="1" w:after="100" w:afterAutospacing="1" w:line="240" w:lineRule="auto"/>
        <w:jc w:val="center"/>
        <w:outlineLvl w:val="5"/>
        <w:rPr>
          <w:rFonts w:ascii="Arial" w:eastAsia="Times New Roman" w:hAnsi="Arial" w:cs="Arial"/>
          <w:b/>
          <w:bCs/>
          <w:sz w:val="24"/>
          <w:szCs w:val="24"/>
        </w:rPr>
      </w:pPr>
      <w:r w:rsidRPr="008A4AEF">
        <w:rPr>
          <w:rFonts w:ascii="Arial" w:eastAsia="Times New Roman" w:hAnsi="Arial" w:cs="Arial"/>
          <w:b/>
          <w:bCs/>
          <w:sz w:val="24"/>
          <w:szCs w:val="24"/>
        </w:rPr>
        <w:t>Basic Ratios and Their Meaning</w:t>
      </w:r>
    </w:p>
    <w:p w:rsidR="008A4AEF" w:rsidRPr="008A4AEF" w:rsidRDefault="008A4AEF" w:rsidP="008A4AEF">
      <w:pPr>
        <w:spacing w:before="100" w:beforeAutospacing="1" w:after="100" w:afterAutospacing="1" w:line="240" w:lineRule="auto"/>
        <w:outlineLvl w:val="2"/>
        <w:rPr>
          <w:rFonts w:ascii="Arial" w:eastAsia="Times New Roman" w:hAnsi="Arial" w:cs="Arial"/>
          <w:b/>
          <w:bCs/>
          <w:sz w:val="20"/>
          <w:szCs w:val="20"/>
        </w:rPr>
      </w:pPr>
      <w:r w:rsidRPr="008A4AEF">
        <w:rPr>
          <w:rFonts w:ascii="Arial" w:eastAsia="Times New Roman" w:hAnsi="Arial" w:cs="Arial"/>
          <w:b/>
          <w:bCs/>
          <w:sz w:val="20"/>
          <w:szCs w:val="20"/>
        </w:rPr>
        <w:t>Introduction</w:t>
      </w:r>
    </w:p>
    <w:p w:rsidR="008A4AEF" w:rsidRPr="008A4AEF" w:rsidRDefault="008A4AEF" w:rsidP="008A4AEF">
      <w:p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Balance in all phases of life is critically important to maintain health and this principle applies to mineral levels in hair analyses.</w:t>
      </w:r>
    </w:p>
    <w:p w:rsidR="008A4AEF" w:rsidRPr="008A4AEF" w:rsidRDefault="008A4AEF" w:rsidP="008A4AEF">
      <w:p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What is a mineral ratio? A pure number consisting of one mineral level divided by a second mineral level. Mineral ratios are often more important in determining nutritional deficiencies and excesses than mineral levels alone, although both are important and should be considered together. The understanding of mineral ratios is extremely exciting and much more revealing than analyzing mineral levels alone.</w:t>
      </w:r>
    </w:p>
    <w:p w:rsidR="008A4AEF" w:rsidRPr="008A4AEF" w:rsidRDefault="008A4AEF" w:rsidP="008A4AEF">
      <w:pPr>
        <w:spacing w:before="100" w:beforeAutospacing="1" w:after="100" w:afterAutospacing="1" w:line="240" w:lineRule="auto"/>
        <w:outlineLvl w:val="2"/>
        <w:rPr>
          <w:rFonts w:ascii="Arial" w:eastAsia="Times New Roman" w:hAnsi="Arial" w:cs="Arial"/>
          <w:b/>
          <w:bCs/>
          <w:sz w:val="20"/>
          <w:szCs w:val="20"/>
        </w:rPr>
      </w:pPr>
      <w:r w:rsidRPr="008A4AEF">
        <w:rPr>
          <w:rFonts w:ascii="Arial" w:eastAsia="Times New Roman" w:hAnsi="Arial" w:cs="Arial"/>
          <w:b/>
          <w:bCs/>
          <w:sz w:val="20"/>
          <w:szCs w:val="20"/>
        </w:rPr>
        <w:t>The Importance Of Ratios</w:t>
      </w:r>
    </w:p>
    <w:p w:rsidR="008A4AEF" w:rsidRPr="008A4AEF" w:rsidRDefault="008A4AEF" w:rsidP="008A4AEF">
      <w:pPr>
        <w:numPr>
          <w:ilvl w:val="0"/>
          <w:numId w:val="2"/>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i/>
          <w:iCs/>
          <w:sz w:val="20"/>
          <w:szCs w:val="20"/>
        </w:rPr>
        <w:t>Ratios</w:t>
      </w:r>
      <w:r w:rsidRPr="008A4AEF">
        <w:rPr>
          <w:rFonts w:ascii="Arial" w:eastAsia="Times New Roman" w:hAnsi="Arial" w:cs="Arial"/>
          <w:sz w:val="20"/>
          <w:szCs w:val="20"/>
        </w:rPr>
        <w:t xml:space="preserve"> are often more important than levels.</w:t>
      </w:r>
    </w:p>
    <w:p w:rsidR="008A4AEF" w:rsidRPr="008A4AEF" w:rsidRDefault="008A4AEF" w:rsidP="008A4AEF">
      <w:pPr>
        <w:numPr>
          <w:ilvl w:val="0"/>
          <w:numId w:val="2"/>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 xml:space="preserve">Ratios represent </w:t>
      </w:r>
      <w:r w:rsidRPr="008A4AEF">
        <w:rPr>
          <w:rFonts w:ascii="Arial" w:eastAsia="Times New Roman" w:hAnsi="Arial" w:cs="Arial"/>
          <w:i/>
          <w:iCs/>
          <w:sz w:val="20"/>
          <w:szCs w:val="20"/>
        </w:rPr>
        <w:t>homeostatic balances</w:t>
      </w:r>
      <w:r w:rsidRPr="008A4AEF">
        <w:rPr>
          <w:rFonts w:ascii="Arial" w:eastAsia="Times New Roman" w:hAnsi="Arial" w:cs="Arial"/>
          <w:sz w:val="20"/>
          <w:szCs w:val="20"/>
        </w:rPr>
        <w:t>.</w:t>
      </w:r>
    </w:p>
    <w:p w:rsidR="008A4AEF" w:rsidRPr="008A4AEF" w:rsidRDefault="008A4AEF" w:rsidP="008A4AEF">
      <w:pPr>
        <w:numPr>
          <w:ilvl w:val="0"/>
          <w:numId w:val="2"/>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 xml:space="preserve">Ratios are indicative of disease </w:t>
      </w:r>
      <w:r w:rsidRPr="008A4AEF">
        <w:rPr>
          <w:rFonts w:ascii="Arial" w:eastAsia="Times New Roman" w:hAnsi="Arial" w:cs="Arial"/>
          <w:i/>
          <w:iCs/>
          <w:sz w:val="20"/>
          <w:szCs w:val="20"/>
        </w:rPr>
        <w:t>trends</w:t>
      </w:r>
      <w:r w:rsidRPr="008A4AEF">
        <w:rPr>
          <w:rFonts w:ascii="Arial" w:eastAsia="Times New Roman" w:hAnsi="Arial" w:cs="Arial"/>
          <w:sz w:val="20"/>
          <w:szCs w:val="20"/>
        </w:rPr>
        <w:t xml:space="preserve">. These are not diagnostic but are research </w:t>
      </w:r>
      <w:r w:rsidRPr="008A4AEF">
        <w:rPr>
          <w:rFonts w:ascii="Arial" w:eastAsia="Times New Roman" w:hAnsi="Arial" w:cs="Arial"/>
          <w:i/>
          <w:iCs/>
          <w:sz w:val="20"/>
          <w:szCs w:val="20"/>
        </w:rPr>
        <w:t>associations</w:t>
      </w:r>
      <w:r w:rsidRPr="008A4AEF">
        <w:rPr>
          <w:rFonts w:ascii="Arial" w:eastAsia="Times New Roman" w:hAnsi="Arial" w:cs="Arial"/>
          <w:sz w:val="20"/>
          <w:szCs w:val="20"/>
        </w:rPr>
        <w:t>.</w:t>
      </w:r>
    </w:p>
    <w:p w:rsidR="008A4AEF" w:rsidRPr="008A4AEF" w:rsidRDefault="008A4AEF" w:rsidP="008A4AEF">
      <w:pPr>
        <w:numPr>
          <w:ilvl w:val="0"/>
          <w:numId w:val="2"/>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 xml:space="preserve">Ratios are frequently </w:t>
      </w:r>
      <w:r w:rsidRPr="008A4AEF">
        <w:rPr>
          <w:rFonts w:ascii="Arial" w:eastAsia="Times New Roman" w:hAnsi="Arial" w:cs="Arial"/>
          <w:i/>
          <w:iCs/>
          <w:sz w:val="20"/>
          <w:szCs w:val="20"/>
        </w:rPr>
        <w:t>predictive</w:t>
      </w:r>
      <w:r w:rsidRPr="008A4AEF">
        <w:rPr>
          <w:rFonts w:ascii="Arial" w:eastAsia="Times New Roman" w:hAnsi="Arial" w:cs="Arial"/>
          <w:sz w:val="20"/>
          <w:szCs w:val="20"/>
        </w:rPr>
        <w:t xml:space="preserve"> of future metabolic dysfunctions or hidden metabolic dysfunctions.</w:t>
      </w:r>
    </w:p>
    <w:p w:rsidR="008A4AEF" w:rsidRPr="008A4AEF" w:rsidRDefault="008A4AEF" w:rsidP="003720AA">
      <w:pPr>
        <w:numPr>
          <w:ilvl w:val="0"/>
          <w:numId w:val="2"/>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 xml:space="preserve">The following ratios apply </w:t>
      </w:r>
      <w:r w:rsidRPr="008A4AEF">
        <w:rPr>
          <w:rFonts w:ascii="Arial" w:eastAsia="Times New Roman" w:hAnsi="Arial" w:cs="Arial"/>
          <w:i/>
          <w:iCs/>
          <w:sz w:val="20"/>
          <w:szCs w:val="20"/>
        </w:rPr>
        <w:t>only</w:t>
      </w:r>
      <w:r w:rsidRPr="008A4AEF">
        <w:rPr>
          <w:rFonts w:ascii="Arial" w:eastAsia="Times New Roman" w:hAnsi="Arial" w:cs="Arial"/>
          <w:sz w:val="20"/>
          <w:szCs w:val="20"/>
        </w:rPr>
        <w:t xml:space="preserve"> to tests run at </w:t>
      </w:r>
      <w:r w:rsidR="003720AA">
        <w:rPr>
          <w:rFonts w:ascii="Arial" w:eastAsia="Times New Roman" w:hAnsi="Arial" w:cs="Arial"/>
          <w:sz w:val="20"/>
          <w:szCs w:val="20"/>
        </w:rPr>
        <w:t xml:space="preserve">a lab that does NOT wash the hair. </w:t>
      </w:r>
      <w:r w:rsidRPr="008A4AEF">
        <w:rPr>
          <w:rFonts w:ascii="Arial" w:eastAsia="Times New Roman" w:hAnsi="Arial" w:cs="Arial"/>
          <w:sz w:val="20"/>
          <w:szCs w:val="20"/>
        </w:rPr>
        <w:t>Other labs may wash the hair in various ways, or use other laboratory instruments or procedures which will result in different mineral values. If you must evaluate a test from another lab, attempt to get another hair analysis test from Analytical Research as soon as practically possible.</w:t>
      </w:r>
    </w:p>
    <w:p w:rsidR="008A4AEF" w:rsidRPr="008A4AEF" w:rsidRDefault="008A4AEF" w:rsidP="008A4AEF">
      <w:pPr>
        <w:numPr>
          <w:ilvl w:val="0"/>
          <w:numId w:val="2"/>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 xml:space="preserve">Ratios can be used to </w:t>
      </w:r>
      <w:r w:rsidRPr="008A4AEF">
        <w:rPr>
          <w:rFonts w:ascii="Arial" w:eastAsia="Times New Roman" w:hAnsi="Arial" w:cs="Arial"/>
          <w:i/>
          <w:iCs/>
          <w:sz w:val="20"/>
          <w:szCs w:val="20"/>
        </w:rPr>
        <w:t>chart progress</w:t>
      </w:r>
      <w:r w:rsidRPr="008A4AEF">
        <w:rPr>
          <w:rFonts w:ascii="Arial" w:eastAsia="Times New Roman" w:hAnsi="Arial" w:cs="Arial"/>
          <w:sz w:val="20"/>
          <w:szCs w:val="20"/>
        </w:rPr>
        <w:t>. However, one must consider all the important ratios, as well as mineral levels, symptoms and signs.</w:t>
      </w:r>
    </w:p>
    <w:p w:rsidR="008A4AEF" w:rsidRPr="008A4AEF" w:rsidRDefault="008A4AEF" w:rsidP="008A4AEF">
      <w:pPr>
        <w:numPr>
          <w:ilvl w:val="0"/>
          <w:numId w:val="2"/>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Frequently, one or more ratios will look worse on a retest. This doesn't necessarily mean that the patient's health status is worse.</w:t>
      </w:r>
    </w:p>
    <w:p w:rsidR="008A4AEF" w:rsidRPr="008A4AEF" w:rsidRDefault="008A4AEF" w:rsidP="0087088C">
      <w:pPr>
        <w:numPr>
          <w:ilvl w:val="0"/>
          <w:numId w:val="2"/>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The following five (5) ratios are the most important for evaluation purposes:</w:t>
      </w:r>
    </w:p>
    <w:p w:rsidR="008A4AEF" w:rsidRPr="008A4AEF" w:rsidRDefault="008A4AEF" w:rsidP="008A4AEF">
      <w:pPr>
        <w:spacing w:before="100" w:beforeAutospacing="1" w:after="100" w:afterAutospacing="1" w:line="240" w:lineRule="auto"/>
        <w:outlineLvl w:val="2"/>
        <w:rPr>
          <w:rFonts w:ascii="Arial" w:eastAsia="Times New Roman" w:hAnsi="Arial" w:cs="Arial"/>
          <w:b/>
          <w:bCs/>
          <w:sz w:val="20"/>
          <w:szCs w:val="20"/>
        </w:rPr>
      </w:pPr>
      <w:r w:rsidRPr="008A4AEF">
        <w:rPr>
          <w:rFonts w:ascii="Arial" w:eastAsia="Times New Roman" w:hAnsi="Arial" w:cs="Arial"/>
          <w:b/>
          <w:bCs/>
          <w:sz w:val="20"/>
          <w:szCs w:val="20"/>
        </w:rPr>
        <w:t>The Basic Mineral Ratios</w:t>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Calcium/Magnesium (Ca/Mg) Ratio:</w:t>
      </w:r>
      <w:r w:rsidRPr="008A4AEF">
        <w:rPr>
          <w:rFonts w:ascii="Arial" w:eastAsia="Times New Roman" w:hAnsi="Arial" w:cs="Arial"/>
          <w:b/>
          <w:sz w:val="20"/>
          <w:szCs w:val="20"/>
        </w:rPr>
        <w:t xml:space="preserve"> </w:t>
      </w:r>
    </w:p>
    <w:p w:rsidR="008A4AEF" w:rsidRPr="008A4AEF" w:rsidRDefault="008A4AEF" w:rsidP="008A4AEF">
      <w:pPr>
        <w:numPr>
          <w:ilvl w:val="0"/>
          <w:numId w:val="3"/>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Referred to as the blood-sugar ratio</w:t>
      </w:r>
    </w:p>
    <w:p w:rsidR="008A4AEF" w:rsidRPr="008A4AEF" w:rsidRDefault="008A4AEF" w:rsidP="008A4AEF">
      <w:pPr>
        <w:numPr>
          <w:ilvl w:val="0"/>
          <w:numId w:val="3"/>
        </w:numPr>
        <w:spacing w:before="100" w:beforeAutospacing="1" w:after="100" w:afterAutospacing="1" w:line="240" w:lineRule="auto"/>
        <w:rPr>
          <w:rFonts w:ascii="Arial" w:eastAsia="Times New Roman" w:hAnsi="Arial" w:cs="Arial"/>
          <w:sz w:val="20"/>
          <w:szCs w:val="20"/>
          <w:highlight w:val="yellow"/>
        </w:rPr>
      </w:pPr>
      <w:r w:rsidRPr="008A4AEF">
        <w:rPr>
          <w:rFonts w:ascii="Arial" w:eastAsia="Times New Roman" w:hAnsi="Arial" w:cs="Arial"/>
          <w:sz w:val="20"/>
          <w:szCs w:val="20"/>
          <w:highlight w:val="yellow"/>
        </w:rPr>
        <w:t>Normal ratio is 6.67:1</w:t>
      </w:r>
    </w:p>
    <w:p w:rsidR="008A4AEF" w:rsidRPr="008A4AEF" w:rsidRDefault="008A4AEF" w:rsidP="008A4AEF">
      <w:pPr>
        <w:numPr>
          <w:ilvl w:val="0"/>
          <w:numId w:val="3"/>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Calcium is required for the release of insulin from the pancreas</w:t>
      </w:r>
    </w:p>
    <w:p w:rsidR="008A4AEF" w:rsidRPr="008A4AEF" w:rsidRDefault="008A4AEF" w:rsidP="008A4AEF">
      <w:pPr>
        <w:numPr>
          <w:ilvl w:val="0"/>
          <w:numId w:val="3"/>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Magnesium inhibits insulin secretion</w:t>
      </w:r>
    </w:p>
    <w:p w:rsidR="008A4AEF" w:rsidRPr="008A4AEF" w:rsidRDefault="008A4AEF" w:rsidP="008A4AEF">
      <w:pPr>
        <w:numPr>
          <w:ilvl w:val="0"/>
          <w:numId w:val="3"/>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Magnesium is necessary to keep calcium in solution</w:t>
      </w:r>
    </w:p>
    <w:p w:rsidR="008A4AEF" w:rsidRPr="008A4AEF" w:rsidRDefault="008A4AEF" w:rsidP="008A4AEF">
      <w:pPr>
        <w:spacing w:after="0" w:line="240" w:lineRule="auto"/>
        <w:rPr>
          <w:rFonts w:ascii="Arial" w:eastAsia="Times New Roman" w:hAnsi="Arial" w:cs="Arial"/>
          <w:b/>
          <w:sz w:val="20"/>
          <w:szCs w:val="20"/>
        </w:rPr>
      </w:pPr>
      <w:r w:rsidRPr="0087088C">
        <w:rPr>
          <w:rFonts w:ascii="Arial" w:eastAsia="Times New Roman" w:hAnsi="Arial" w:cs="Arial"/>
          <w:b/>
          <w:sz w:val="20"/>
          <w:szCs w:val="20"/>
        </w:rPr>
        <w:t>Trends Associated with the Calcium/Magnesium Ratio:</w:t>
      </w:r>
    </w:p>
    <w:tbl>
      <w:tblPr>
        <w:tblW w:w="5000" w:type="pct"/>
        <w:tblCellSpacing w:w="0" w:type="dxa"/>
        <w:tblCellMar>
          <w:left w:w="0" w:type="dxa"/>
          <w:right w:w="0" w:type="dxa"/>
        </w:tblCellMar>
        <w:tblLook w:val="04A0" w:firstRow="1" w:lastRow="0" w:firstColumn="1" w:lastColumn="0" w:noHBand="0" w:noVBand="1"/>
      </w:tblPr>
      <w:tblGrid>
        <w:gridCol w:w="1685"/>
        <w:gridCol w:w="7675"/>
      </w:tblGrid>
      <w:tr w:rsidR="008A4AEF" w:rsidRPr="008A4AEF" w:rsidTr="008A4AEF">
        <w:trPr>
          <w:trHeight w:val="288"/>
          <w:tblCellSpacing w:w="0" w:type="dxa"/>
        </w:trPr>
        <w:tc>
          <w:tcPr>
            <w:tcW w:w="90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Ratio:</w:t>
            </w:r>
          </w:p>
        </w:tc>
        <w:tc>
          <w:tcPr>
            <w:tcW w:w="410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Trend:</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12+</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Severe glucose (sugar) sensitivity</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8.5 - 12</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Imbalanced glucose metabolism</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6.67 - 8.49</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Within optimal limits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6.67</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IDEAL</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4.51 - 6.67 </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Within optimal limits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3.3 - 4.50 </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Imbalanced glucose metabolism</w:t>
            </w:r>
          </w:p>
        </w:tc>
      </w:tr>
      <w:tr w:rsidR="008A4AEF" w:rsidRPr="008A4AEF" w:rsidTr="008A4AEF">
        <w:trPr>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Below - 3.3</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Severe glucose (sugar) sensitivity</w:t>
            </w:r>
          </w:p>
        </w:tc>
      </w:tr>
    </w:tbl>
    <w:p w:rsidR="008A4AEF" w:rsidRPr="008A4AEF" w:rsidRDefault="008A4AEF" w:rsidP="008A4AEF">
      <w:pPr>
        <w:spacing w:after="0" w:line="240" w:lineRule="auto"/>
        <w:rPr>
          <w:rFonts w:ascii="Arial" w:eastAsia="Times New Roman" w:hAnsi="Arial" w:cs="Arial"/>
          <w:b/>
          <w:sz w:val="20"/>
          <w:szCs w:val="20"/>
        </w:rPr>
      </w:pPr>
      <w:r w:rsidRPr="008A4AEF">
        <w:rPr>
          <w:rFonts w:ascii="Arial" w:eastAsia="Times New Roman" w:hAnsi="Arial" w:cs="Arial"/>
          <w:sz w:val="20"/>
          <w:szCs w:val="20"/>
        </w:rPr>
        <w:br/>
      </w:r>
      <w:r w:rsidRPr="003720AA">
        <w:rPr>
          <w:rFonts w:ascii="Arial" w:eastAsia="Times New Roman" w:hAnsi="Arial" w:cs="Arial"/>
          <w:b/>
          <w:sz w:val="20"/>
          <w:szCs w:val="20"/>
        </w:rPr>
        <w:t xml:space="preserve">Factors </w:t>
      </w:r>
      <w:r w:rsidR="003720AA">
        <w:rPr>
          <w:rFonts w:ascii="Arial" w:eastAsia="Times New Roman" w:hAnsi="Arial" w:cs="Arial"/>
          <w:b/>
          <w:sz w:val="20"/>
          <w:szCs w:val="20"/>
        </w:rPr>
        <w:t>W</w:t>
      </w:r>
      <w:r w:rsidRPr="003720AA">
        <w:rPr>
          <w:rFonts w:ascii="Arial" w:eastAsia="Times New Roman" w:hAnsi="Arial" w:cs="Arial"/>
          <w:b/>
          <w:sz w:val="20"/>
          <w:szCs w:val="20"/>
        </w:rPr>
        <w:t>hich may Modify the Interpretation of the Ratio:</w:t>
      </w:r>
    </w:p>
    <w:p w:rsidR="008A4AEF" w:rsidRPr="008A4AEF" w:rsidRDefault="008A4AEF" w:rsidP="008A4AEF">
      <w:pPr>
        <w:numPr>
          <w:ilvl w:val="0"/>
          <w:numId w:val="4"/>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lastRenderedPageBreak/>
        <w:t>Calcium or magnesium loss will raise the levels temporarily</w:t>
      </w:r>
    </w:p>
    <w:p w:rsidR="008A4AEF" w:rsidRPr="008A4AEF" w:rsidRDefault="008A4AEF" w:rsidP="008A4AEF">
      <w:pPr>
        <w:numPr>
          <w:ilvl w:val="0"/>
          <w:numId w:val="4"/>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Cortisone therapy will lower calcium levels</w:t>
      </w:r>
    </w:p>
    <w:p w:rsidR="008A4AEF" w:rsidRPr="008A4AEF" w:rsidRDefault="008A4AEF" w:rsidP="008A4AEF">
      <w:pPr>
        <w:numPr>
          <w:ilvl w:val="0"/>
          <w:numId w:val="4"/>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Cortisone therapy will raise both sodium and potassium levels</w:t>
      </w:r>
    </w:p>
    <w:p w:rsidR="008A4AEF" w:rsidRPr="008A4AEF" w:rsidRDefault="008A4AEF" w:rsidP="008A4AEF">
      <w:pPr>
        <w:numPr>
          <w:ilvl w:val="0"/>
          <w:numId w:val="4"/>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Lead and cadmium toxicity will displace calcium</w:t>
      </w:r>
    </w:p>
    <w:p w:rsidR="008A4AEF" w:rsidRPr="008A4AEF" w:rsidRDefault="008A4AEF" w:rsidP="008A4AEF">
      <w:pPr>
        <w:spacing w:after="0" w:line="240" w:lineRule="auto"/>
        <w:rPr>
          <w:rFonts w:ascii="Arial" w:eastAsia="Times New Roman" w:hAnsi="Arial" w:cs="Arial"/>
          <w:b/>
          <w:sz w:val="20"/>
          <w:szCs w:val="20"/>
        </w:rPr>
      </w:pPr>
      <w:r w:rsidRPr="0087088C">
        <w:rPr>
          <w:rFonts w:ascii="Arial" w:eastAsia="Times New Roman" w:hAnsi="Arial" w:cs="Arial"/>
          <w:b/>
          <w:sz w:val="20"/>
          <w:szCs w:val="20"/>
        </w:rPr>
        <w:t>Sodium/Potassium (Na/K) Ratio:</w:t>
      </w:r>
      <w:r w:rsidRPr="008A4AEF">
        <w:rPr>
          <w:rFonts w:ascii="Arial" w:eastAsia="Times New Roman" w:hAnsi="Arial" w:cs="Arial"/>
          <w:b/>
          <w:sz w:val="20"/>
          <w:szCs w:val="20"/>
        </w:rPr>
        <w:t xml:space="preserve"> </w:t>
      </w:r>
    </w:p>
    <w:p w:rsidR="008A4AEF" w:rsidRPr="008A4AEF" w:rsidRDefault="008A4AEF" w:rsidP="008A4AEF">
      <w:pPr>
        <w:numPr>
          <w:ilvl w:val="0"/>
          <w:numId w:val="5"/>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Referred to as the life-death ratio because it is so critical</w:t>
      </w:r>
    </w:p>
    <w:p w:rsidR="008A4AEF" w:rsidRPr="008A4AEF" w:rsidRDefault="008A4AEF" w:rsidP="008A4AEF">
      <w:pPr>
        <w:numPr>
          <w:ilvl w:val="0"/>
          <w:numId w:val="5"/>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Related to the sodium pump mechanism, and the electrical potential of cells which is regulated by sodium and potassium levels</w:t>
      </w:r>
    </w:p>
    <w:p w:rsidR="008A4AEF" w:rsidRPr="008A4AEF" w:rsidRDefault="008A4AEF" w:rsidP="008A4AEF">
      <w:pPr>
        <w:numPr>
          <w:ilvl w:val="0"/>
          <w:numId w:val="5"/>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Sodium is normally extracellular, while potassium is normally intracellular. If the ratio of these minerals is unbalanced, it indicates important physiological malfunctions within the cells.</w:t>
      </w:r>
    </w:p>
    <w:p w:rsidR="008A4AEF" w:rsidRPr="008A4AEF" w:rsidRDefault="008A4AEF" w:rsidP="008A4AEF">
      <w:pPr>
        <w:numPr>
          <w:ilvl w:val="0"/>
          <w:numId w:val="5"/>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The sodium/potassium ratio is intimately related to kidney, liver and adrenal gland function, and an imbalanced sodium/potassium ratio is associated with heart, kidney, liver, and immune deficiency diseases.</w:t>
      </w:r>
    </w:p>
    <w:p w:rsidR="008A4AEF" w:rsidRPr="008A4AEF" w:rsidRDefault="008A4AEF" w:rsidP="008A4AEF">
      <w:pPr>
        <w:numPr>
          <w:ilvl w:val="0"/>
          <w:numId w:val="5"/>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The sodium/potassium ratio is intimately linked to adrenal gland function, and the balance between aldosterone (mineralocorticoid) and cortisone (glucocorticoid) secretion.</w:t>
      </w:r>
    </w:p>
    <w:p w:rsidR="008A4AEF" w:rsidRPr="008A4AEF" w:rsidRDefault="008A4AEF" w:rsidP="008A4AEF">
      <w:pPr>
        <w:spacing w:after="0" w:line="240" w:lineRule="auto"/>
        <w:rPr>
          <w:rFonts w:ascii="Arial" w:eastAsia="Times New Roman" w:hAnsi="Arial" w:cs="Arial"/>
          <w:b/>
          <w:sz w:val="20"/>
          <w:szCs w:val="20"/>
        </w:rPr>
      </w:pPr>
      <w:r w:rsidRPr="0087088C">
        <w:rPr>
          <w:rFonts w:ascii="Arial" w:eastAsia="Times New Roman" w:hAnsi="Arial" w:cs="Arial"/>
          <w:b/>
          <w:sz w:val="20"/>
          <w:szCs w:val="20"/>
        </w:rPr>
        <w:t>Trends Associated with Sodium/Potassium Ratio:</w:t>
      </w:r>
    </w:p>
    <w:tbl>
      <w:tblPr>
        <w:tblW w:w="5000" w:type="pct"/>
        <w:tblCellSpacing w:w="0" w:type="dxa"/>
        <w:tblCellMar>
          <w:left w:w="0" w:type="dxa"/>
          <w:right w:w="0" w:type="dxa"/>
        </w:tblCellMar>
        <w:tblLook w:val="04A0" w:firstRow="1" w:lastRow="0" w:firstColumn="1" w:lastColumn="0" w:noHBand="0" w:noVBand="1"/>
      </w:tblPr>
      <w:tblGrid>
        <w:gridCol w:w="1685"/>
        <w:gridCol w:w="7675"/>
      </w:tblGrid>
      <w:tr w:rsidR="008A4AEF" w:rsidRPr="008A4AEF" w:rsidTr="008A4AEF">
        <w:trPr>
          <w:trHeight w:val="324"/>
          <w:tblCellSpacing w:w="0" w:type="dxa"/>
        </w:trPr>
        <w:tc>
          <w:tcPr>
            <w:tcW w:w="90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Ratio:</w:t>
            </w:r>
          </w:p>
        </w:tc>
        <w:tc>
          <w:tcPr>
            <w:tcW w:w="410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Trend:</w:t>
            </w:r>
          </w:p>
        </w:tc>
      </w:tr>
      <w:tr w:rsidR="008A4AEF" w:rsidRPr="008A4AEF" w:rsidTr="008A4AEF">
        <w:trPr>
          <w:trHeight w:val="74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6.+</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Severe elevation - inflammation and adrenal imbalance. High ratio can also be associated with asthma, allergies, kidney and liver problems. A high sodium/potassium ratio is considered preferable to a low sodium/potassium ratio.</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4.5 - 6 </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Moderate elevation - tendency towards inflammation </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2.5 - 4.49</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Mild elevation - good adrenal function </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2.5 </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IDEAL </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2 - 2.49</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Mild inversion - beginning of adrenal exhaustion </w:t>
            </w:r>
          </w:p>
        </w:tc>
      </w:tr>
      <w:tr w:rsidR="008A4AEF" w:rsidRPr="008A4AEF" w:rsidTr="008A4AEF">
        <w:trPr>
          <w:trHeight w:val="516"/>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1 - 2 </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Moderate inversion - kidney and liver dysfunction, allergies, arthritis, adrenal exhaustion, digestive problems, deficiency of hydrochloric acid. </w:t>
            </w:r>
          </w:p>
        </w:tc>
      </w:tr>
      <w:tr w:rsidR="008A4AEF" w:rsidRPr="008A4AEF" w:rsidTr="008A4AEF">
        <w:trPr>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Below 1 </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Severe inversion - tendency towards heart attack, cancer, arthritis, kidney and liver disorders. </w:t>
            </w:r>
          </w:p>
        </w:tc>
      </w:tr>
    </w:tbl>
    <w:p w:rsidR="008A4AEF" w:rsidRPr="008A4AEF" w:rsidRDefault="008A4AEF" w:rsidP="008A4AEF">
      <w:pPr>
        <w:spacing w:after="0" w:line="240" w:lineRule="auto"/>
        <w:rPr>
          <w:rFonts w:ascii="Arial" w:eastAsia="Times New Roman" w:hAnsi="Arial" w:cs="Arial"/>
          <w:b/>
          <w:sz w:val="20"/>
          <w:szCs w:val="20"/>
        </w:rPr>
      </w:pPr>
      <w:r w:rsidRPr="008A4AEF">
        <w:rPr>
          <w:rFonts w:ascii="Arial" w:eastAsia="Times New Roman" w:hAnsi="Arial" w:cs="Arial"/>
          <w:sz w:val="20"/>
          <w:szCs w:val="20"/>
        </w:rPr>
        <w:br/>
      </w:r>
      <w:r w:rsidRPr="0087088C">
        <w:rPr>
          <w:rFonts w:ascii="Arial" w:eastAsia="Times New Roman" w:hAnsi="Arial" w:cs="Arial"/>
          <w:b/>
          <w:sz w:val="20"/>
          <w:szCs w:val="20"/>
        </w:rPr>
        <w:t xml:space="preserve">Factors </w:t>
      </w:r>
      <w:r w:rsidR="0087088C">
        <w:rPr>
          <w:rFonts w:ascii="Arial" w:eastAsia="Times New Roman" w:hAnsi="Arial" w:cs="Arial"/>
          <w:b/>
          <w:sz w:val="20"/>
          <w:szCs w:val="20"/>
        </w:rPr>
        <w:t>W</w:t>
      </w:r>
      <w:r w:rsidRPr="0087088C">
        <w:rPr>
          <w:rFonts w:ascii="Arial" w:eastAsia="Times New Roman" w:hAnsi="Arial" w:cs="Arial"/>
          <w:b/>
          <w:sz w:val="20"/>
          <w:szCs w:val="20"/>
        </w:rPr>
        <w:t>hich may Modify the Interpretation of the Ratio:</w:t>
      </w:r>
      <w:r w:rsidRPr="008A4AEF">
        <w:rPr>
          <w:rFonts w:ascii="Arial" w:eastAsia="Times New Roman" w:hAnsi="Arial" w:cs="Arial"/>
          <w:b/>
          <w:sz w:val="20"/>
          <w:szCs w:val="20"/>
        </w:rPr>
        <w:t xml:space="preserve"> </w:t>
      </w:r>
    </w:p>
    <w:p w:rsidR="008A4AEF" w:rsidRPr="008A4AEF" w:rsidRDefault="008A4AEF" w:rsidP="008A4AEF">
      <w:pPr>
        <w:numPr>
          <w:ilvl w:val="0"/>
          <w:numId w:val="6"/>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Mercury or cadmium toxicity, or an elimination of these metals can affect the sodium/potassium ratio.</w:t>
      </w:r>
    </w:p>
    <w:p w:rsidR="008A4AEF" w:rsidRPr="008A4AEF" w:rsidRDefault="008A4AEF" w:rsidP="008A4AEF">
      <w:pPr>
        <w:numPr>
          <w:ilvl w:val="0"/>
          <w:numId w:val="6"/>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Sometimes a sodium/potassium ratio will be worse on a retest, but the patient feels better. This is because some other mineral or mineral ratio on the chart has improved, such as the elimination of cadmium or copper, or normalization of another ratio. The elimination of a heavy toxic metal is the most common cause of a sodium/potassium inversion, on a retest chart.</w:t>
      </w:r>
    </w:p>
    <w:p w:rsidR="008A4AEF" w:rsidRPr="008A4AEF" w:rsidRDefault="008A4AEF" w:rsidP="008A4AEF">
      <w:pPr>
        <w:numPr>
          <w:ilvl w:val="0"/>
          <w:numId w:val="6"/>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Occasionally a sodium or potassium loss can occur.</w:t>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Calcium/Potassium (Ca/K) Ratio:</w:t>
      </w:r>
      <w:r w:rsidRPr="008A4AEF">
        <w:rPr>
          <w:rFonts w:ascii="Arial" w:eastAsia="Times New Roman" w:hAnsi="Arial" w:cs="Arial"/>
          <w:b/>
          <w:sz w:val="20"/>
          <w:szCs w:val="20"/>
        </w:rPr>
        <w:t xml:space="preserve"> </w:t>
      </w:r>
    </w:p>
    <w:p w:rsidR="008A4AEF" w:rsidRPr="008A4AEF" w:rsidRDefault="008A4AEF" w:rsidP="008A4AEF">
      <w:pPr>
        <w:numPr>
          <w:ilvl w:val="0"/>
          <w:numId w:val="7"/>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Called the thyroid ratio because calcium and potassium play a vital role in regulating thyroid activity.</w:t>
      </w:r>
    </w:p>
    <w:p w:rsidR="008A4AEF" w:rsidRPr="008A4AEF" w:rsidRDefault="008A4AEF" w:rsidP="008A4AEF">
      <w:pPr>
        <w:numPr>
          <w:ilvl w:val="0"/>
          <w:numId w:val="7"/>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Does not always correlate with blood thyroid tests because hair analysis is a tissue test. Often blood tests will be normal but hair analysis will indicate an impaired thyroid function. Sometimes symptoms of hypothyroidism may be evident, but the hair test will show a hyperactive thyroid ratio. For nutritional correction, it is prudent to follow the hair analysis indication.</w:t>
      </w:r>
    </w:p>
    <w:p w:rsidR="008A4AEF" w:rsidRPr="008A4AEF" w:rsidRDefault="008A4AEF" w:rsidP="008A4AEF">
      <w:pPr>
        <w:spacing w:after="0" w:line="240" w:lineRule="auto"/>
        <w:rPr>
          <w:rFonts w:ascii="Arial" w:eastAsia="Times New Roman" w:hAnsi="Arial" w:cs="Arial"/>
          <w:b/>
          <w:sz w:val="20"/>
          <w:szCs w:val="20"/>
        </w:rPr>
      </w:pPr>
      <w:r w:rsidRPr="008A4AEF">
        <w:rPr>
          <w:rFonts w:ascii="Arial" w:eastAsia="Times New Roman" w:hAnsi="Arial" w:cs="Arial"/>
          <w:sz w:val="20"/>
          <w:szCs w:val="20"/>
        </w:rPr>
        <w:lastRenderedPageBreak/>
        <w:br/>
      </w:r>
      <w:r w:rsidRPr="003720AA">
        <w:rPr>
          <w:rFonts w:ascii="Arial" w:eastAsia="Times New Roman" w:hAnsi="Arial" w:cs="Arial"/>
          <w:b/>
          <w:sz w:val="20"/>
          <w:szCs w:val="20"/>
          <w:highlight w:val="yellow"/>
        </w:rPr>
        <w:t>Ideal Calcium/Potassium Ratio is 4:1:</w:t>
      </w:r>
      <w:r w:rsidRPr="008A4AEF">
        <w:rPr>
          <w:rFonts w:ascii="Arial" w:eastAsia="Times New Roman" w:hAnsi="Arial" w:cs="Arial"/>
          <w:b/>
          <w:sz w:val="20"/>
          <w:szCs w:val="20"/>
        </w:rPr>
        <w:t xml:space="preserve"> </w:t>
      </w:r>
    </w:p>
    <w:p w:rsidR="008A4AEF" w:rsidRPr="008A4AEF" w:rsidRDefault="008A4AEF" w:rsidP="008A4AEF">
      <w:pPr>
        <w:numPr>
          <w:ilvl w:val="0"/>
          <w:numId w:val="8"/>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A calcium/potassium ratio of less than 4:1 is indicative of increased thyroid activity.</w:t>
      </w:r>
    </w:p>
    <w:p w:rsidR="008A4AEF" w:rsidRPr="008A4AEF" w:rsidRDefault="008A4AEF" w:rsidP="008A4AEF">
      <w:pPr>
        <w:numPr>
          <w:ilvl w:val="0"/>
          <w:numId w:val="8"/>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The thyroid gland is one of the major glands which regulate metabolic rate in the body. A hyperactive thyroid is associated with fast metabolism.</w:t>
      </w:r>
    </w:p>
    <w:p w:rsidR="008A4AEF" w:rsidRPr="008A4AEF" w:rsidRDefault="008A4AEF" w:rsidP="008A4AEF">
      <w:pPr>
        <w:numPr>
          <w:ilvl w:val="0"/>
          <w:numId w:val="8"/>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When the thyroid (and adrenal) ratios are not normal, the efficiency of energy production in the body decreases. It is like an engine that is turning too slow or too fast - power output declines.</w:t>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Symptoms of Reduced Thyroid Activity Include:</w:t>
      </w:r>
      <w:r w:rsidRPr="008A4AEF">
        <w:rPr>
          <w:rFonts w:ascii="Arial" w:eastAsia="Times New Roman" w:hAnsi="Arial" w:cs="Arial"/>
          <w:b/>
          <w:sz w:val="20"/>
          <w:szCs w:val="20"/>
        </w:rPr>
        <w:t xml:space="preserve"> </w:t>
      </w:r>
    </w:p>
    <w:p w:rsidR="008A4AEF" w:rsidRPr="008A4AEF" w:rsidRDefault="008A4AEF" w:rsidP="008A4AEF">
      <w:pPr>
        <w:numPr>
          <w:ilvl w:val="0"/>
          <w:numId w:val="9"/>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Tendency to gain weight</w:t>
      </w:r>
    </w:p>
    <w:p w:rsidR="008A4AEF" w:rsidRPr="008A4AEF" w:rsidRDefault="008A4AEF" w:rsidP="008A4AEF">
      <w:pPr>
        <w:numPr>
          <w:ilvl w:val="0"/>
          <w:numId w:val="9"/>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Cold hands and feet - tendency to feel cold</w:t>
      </w:r>
    </w:p>
    <w:p w:rsidR="008A4AEF" w:rsidRPr="008A4AEF" w:rsidRDefault="008A4AEF" w:rsidP="008A4AEF">
      <w:pPr>
        <w:numPr>
          <w:ilvl w:val="0"/>
          <w:numId w:val="9"/>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Lack of sweating</w:t>
      </w:r>
    </w:p>
    <w:p w:rsidR="008A4AEF" w:rsidRPr="008A4AEF" w:rsidRDefault="008A4AEF" w:rsidP="008A4AEF">
      <w:pPr>
        <w:numPr>
          <w:ilvl w:val="0"/>
          <w:numId w:val="9"/>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Fatigue</w:t>
      </w:r>
    </w:p>
    <w:p w:rsidR="008A4AEF" w:rsidRPr="008A4AEF" w:rsidRDefault="008A4AEF" w:rsidP="008A4AEF">
      <w:pPr>
        <w:numPr>
          <w:ilvl w:val="0"/>
          <w:numId w:val="9"/>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Dry skin and dry hair</w:t>
      </w:r>
    </w:p>
    <w:p w:rsidR="008A4AEF" w:rsidRPr="008A4AEF" w:rsidRDefault="008A4AEF" w:rsidP="008A4AEF">
      <w:pPr>
        <w:numPr>
          <w:ilvl w:val="0"/>
          <w:numId w:val="9"/>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Tendency towards constipation</w:t>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Symptoms of Overactive Thyroid Activity Include:</w:t>
      </w:r>
      <w:r w:rsidRPr="008A4AEF">
        <w:rPr>
          <w:rFonts w:ascii="Arial" w:eastAsia="Times New Roman" w:hAnsi="Arial" w:cs="Arial"/>
          <w:b/>
          <w:sz w:val="20"/>
          <w:szCs w:val="20"/>
        </w:rPr>
        <w:t xml:space="preserve"> </w:t>
      </w:r>
    </w:p>
    <w:p w:rsidR="008A4AEF" w:rsidRPr="008A4AEF" w:rsidRDefault="008A4AEF" w:rsidP="008A4AEF">
      <w:pPr>
        <w:numPr>
          <w:ilvl w:val="0"/>
          <w:numId w:val="10"/>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Excessive sweating</w:t>
      </w:r>
    </w:p>
    <w:p w:rsidR="008A4AEF" w:rsidRPr="008A4AEF" w:rsidRDefault="008A4AEF" w:rsidP="008A4AEF">
      <w:pPr>
        <w:numPr>
          <w:ilvl w:val="0"/>
          <w:numId w:val="10"/>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Hyperactivity, irritability</w:t>
      </w:r>
    </w:p>
    <w:p w:rsidR="008A4AEF" w:rsidRPr="008A4AEF" w:rsidRDefault="008A4AEF" w:rsidP="008A4AEF">
      <w:pPr>
        <w:numPr>
          <w:ilvl w:val="0"/>
          <w:numId w:val="10"/>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Nervousness</w:t>
      </w:r>
    </w:p>
    <w:p w:rsidR="008A4AEF" w:rsidRPr="008A4AEF" w:rsidRDefault="008A4AEF" w:rsidP="008A4AEF">
      <w:pPr>
        <w:numPr>
          <w:ilvl w:val="0"/>
          <w:numId w:val="10"/>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Oily hair and skin</w:t>
      </w:r>
    </w:p>
    <w:p w:rsidR="008A4AEF" w:rsidRPr="008A4AEF" w:rsidRDefault="008A4AEF" w:rsidP="008A4AEF">
      <w:pPr>
        <w:numPr>
          <w:ilvl w:val="0"/>
          <w:numId w:val="10"/>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Occasional tendency towards frequent bowel movements or diarrhea during times of stress</w:t>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Trends Associated with the Calcium/Potassium Ratio:</w:t>
      </w:r>
    </w:p>
    <w:tbl>
      <w:tblPr>
        <w:tblW w:w="5000" w:type="pct"/>
        <w:tblCellSpacing w:w="0" w:type="dxa"/>
        <w:tblCellMar>
          <w:left w:w="0" w:type="dxa"/>
          <w:right w:w="0" w:type="dxa"/>
        </w:tblCellMar>
        <w:tblLook w:val="04A0" w:firstRow="1" w:lastRow="0" w:firstColumn="1" w:lastColumn="0" w:noHBand="0" w:noVBand="1"/>
      </w:tblPr>
      <w:tblGrid>
        <w:gridCol w:w="1685"/>
        <w:gridCol w:w="7675"/>
      </w:tblGrid>
      <w:tr w:rsidR="008A4AEF" w:rsidRPr="008A4AEF" w:rsidTr="008A4AEF">
        <w:trPr>
          <w:trHeight w:val="324"/>
          <w:tblCellSpacing w:w="0" w:type="dxa"/>
        </w:trPr>
        <w:tc>
          <w:tcPr>
            <w:tcW w:w="90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Ratio:</w:t>
            </w:r>
          </w:p>
        </w:tc>
        <w:tc>
          <w:tcPr>
            <w:tcW w:w="410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Trend:</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32+</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Severe low thyroid activity 75%+ energy loss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16 - 32</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Sluggish thyroid 50-75% energy loss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8 - 16</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Moderate sluggish thyroid 25-50% energy loss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4 - 8</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Mild sluggish thyroid activity 10-25% energy loss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4</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IDEAL - 100% energy</w:t>
            </w:r>
          </w:p>
        </w:tc>
      </w:tr>
      <w:tr w:rsidR="008A4AEF" w:rsidRPr="008A4AEF" w:rsidTr="008A4AEF">
        <w:trPr>
          <w:trHeight w:val="348"/>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2 - 4</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Mild fast thyroid activity 10-25% energy loss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1 - 2</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Moderate fast thyroid activity 25-50% energy loss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Below 1</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Excessive thyroid activity 50% or more energy loss</w:t>
            </w:r>
          </w:p>
        </w:tc>
      </w:tr>
    </w:tbl>
    <w:p w:rsidR="008A4AEF" w:rsidRPr="008A4AEF" w:rsidRDefault="008A4AEF" w:rsidP="008A4AEF">
      <w:pPr>
        <w:spacing w:after="0" w:line="240" w:lineRule="auto"/>
        <w:rPr>
          <w:rFonts w:ascii="Arial" w:eastAsia="Times New Roman" w:hAnsi="Arial" w:cs="Arial"/>
          <w:b/>
          <w:sz w:val="20"/>
          <w:szCs w:val="20"/>
        </w:rPr>
      </w:pPr>
      <w:r w:rsidRPr="008A4AEF">
        <w:rPr>
          <w:rFonts w:ascii="Arial" w:eastAsia="Times New Roman" w:hAnsi="Arial" w:cs="Arial"/>
          <w:sz w:val="20"/>
          <w:szCs w:val="20"/>
        </w:rPr>
        <w:br/>
      </w:r>
      <w:r w:rsidRPr="003720AA">
        <w:rPr>
          <w:rFonts w:ascii="Arial" w:eastAsia="Times New Roman" w:hAnsi="Arial" w:cs="Arial"/>
          <w:b/>
          <w:sz w:val="20"/>
          <w:szCs w:val="20"/>
        </w:rPr>
        <w:t>Sodium/Magnesium (Na/Mg) Ratio:</w:t>
      </w:r>
      <w:r w:rsidRPr="008A4AEF">
        <w:rPr>
          <w:rFonts w:ascii="Arial" w:eastAsia="Times New Roman" w:hAnsi="Arial" w:cs="Arial"/>
          <w:b/>
          <w:sz w:val="20"/>
          <w:szCs w:val="20"/>
        </w:rPr>
        <w:t xml:space="preserve"> </w:t>
      </w:r>
    </w:p>
    <w:p w:rsidR="008A4AEF" w:rsidRPr="008A4AEF" w:rsidRDefault="008A4AEF" w:rsidP="008A4AEF">
      <w:pPr>
        <w:numPr>
          <w:ilvl w:val="0"/>
          <w:numId w:val="11"/>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Referred to as the adrenal ratio because sodium levels are directly associated with adrenal gland function. Aldosterone, a mineral corticoid adrenal hormone, regulates retention of sodium in the body. In general, the higher the sodium level, the higher the aldosterone level.</w:t>
      </w:r>
    </w:p>
    <w:p w:rsidR="008A4AEF" w:rsidRPr="008A4AEF" w:rsidRDefault="008A4AEF" w:rsidP="008A4AEF">
      <w:pPr>
        <w:numPr>
          <w:ilvl w:val="0"/>
          <w:numId w:val="11"/>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The sodium/magnesium ratio is also a measure of energy output, because the adrenal glands are a major regulator (along with the thyroid gland) of the rate of metabolism.</w:t>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highlight w:val="yellow"/>
        </w:rPr>
        <w:t>Ideal Sodium/Magnesium Ratio is 4.17:1:</w:t>
      </w:r>
      <w:r w:rsidRPr="008A4AEF">
        <w:rPr>
          <w:rFonts w:ascii="Arial" w:eastAsia="Times New Roman" w:hAnsi="Arial" w:cs="Arial"/>
          <w:b/>
          <w:sz w:val="20"/>
          <w:szCs w:val="20"/>
        </w:rPr>
        <w:t xml:space="preserve"> </w:t>
      </w:r>
    </w:p>
    <w:p w:rsidR="008A4AEF" w:rsidRPr="008A4AEF" w:rsidRDefault="008A4AEF" w:rsidP="008A4AEF">
      <w:pPr>
        <w:numPr>
          <w:ilvl w:val="0"/>
          <w:numId w:val="12"/>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lastRenderedPageBreak/>
        <w:t>The sodium/magnesium ratio is a tissue reading and will often not match blood tests for adrenal hormones. Usually the blood tests will be normal, but the tissue mineral test will show abnormal adrenal function.</w:t>
      </w:r>
    </w:p>
    <w:p w:rsidR="008A4AEF" w:rsidRPr="008A4AEF" w:rsidRDefault="008A4AEF" w:rsidP="008A4AEF">
      <w:pPr>
        <w:numPr>
          <w:ilvl w:val="0"/>
          <w:numId w:val="12"/>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Symptoms, however, usually correlate well with the hair analysis.</w:t>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Symptoms of Underactive Adrenal Glands Include:</w:t>
      </w:r>
      <w:r w:rsidRPr="008A4AEF">
        <w:rPr>
          <w:rFonts w:ascii="Arial" w:eastAsia="Times New Roman" w:hAnsi="Arial" w:cs="Arial"/>
          <w:b/>
          <w:sz w:val="20"/>
          <w:szCs w:val="20"/>
        </w:rPr>
        <w:t xml:space="preserve"> </w:t>
      </w:r>
    </w:p>
    <w:p w:rsidR="008A4AEF" w:rsidRPr="008A4AEF" w:rsidRDefault="008A4AEF" w:rsidP="008A4AEF">
      <w:pPr>
        <w:numPr>
          <w:ilvl w:val="0"/>
          <w:numId w:val="13"/>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Fatigue, or diminished stamina</w:t>
      </w:r>
    </w:p>
    <w:p w:rsidR="008A4AEF" w:rsidRPr="008A4AEF" w:rsidRDefault="008A4AEF" w:rsidP="008A4AEF">
      <w:pPr>
        <w:numPr>
          <w:ilvl w:val="0"/>
          <w:numId w:val="13"/>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Depression</w:t>
      </w:r>
    </w:p>
    <w:p w:rsidR="008A4AEF" w:rsidRPr="008A4AEF" w:rsidRDefault="008A4AEF" w:rsidP="008A4AEF">
      <w:pPr>
        <w:numPr>
          <w:ilvl w:val="0"/>
          <w:numId w:val="13"/>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Hypoglycemia</w:t>
      </w:r>
    </w:p>
    <w:p w:rsidR="008A4AEF" w:rsidRPr="008A4AEF" w:rsidRDefault="008A4AEF" w:rsidP="008A4AEF">
      <w:pPr>
        <w:numPr>
          <w:ilvl w:val="0"/>
          <w:numId w:val="13"/>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Weight fluctuations</w:t>
      </w:r>
    </w:p>
    <w:p w:rsidR="008A4AEF" w:rsidRPr="008A4AEF" w:rsidRDefault="008A4AEF" w:rsidP="008A4AEF">
      <w:pPr>
        <w:numPr>
          <w:ilvl w:val="0"/>
          <w:numId w:val="13"/>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Poor digestion - diminished ability to tolerate fats and meat protein</w:t>
      </w:r>
    </w:p>
    <w:p w:rsidR="008A4AEF" w:rsidRPr="008A4AEF" w:rsidRDefault="008A4AEF" w:rsidP="008A4AEF">
      <w:pPr>
        <w:numPr>
          <w:ilvl w:val="0"/>
          <w:numId w:val="13"/>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Allergies</w:t>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Symptoms of Overactive Adrenal Glands Include:</w:t>
      </w:r>
      <w:r w:rsidRPr="008A4AEF">
        <w:rPr>
          <w:rFonts w:ascii="Arial" w:eastAsia="Times New Roman" w:hAnsi="Arial" w:cs="Arial"/>
          <w:b/>
          <w:sz w:val="20"/>
          <w:szCs w:val="20"/>
        </w:rPr>
        <w:t xml:space="preserve"> </w:t>
      </w:r>
    </w:p>
    <w:p w:rsidR="008A4AEF" w:rsidRPr="008A4AEF" w:rsidRDefault="008A4AEF" w:rsidP="008A4AEF">
      <w:pPr>
        <w:numPr>
          <w:ilvl w:val="0"/>
          <w:numId w:val="14"/>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Tendency to inflammation and inflammatory reactions</w:t>
      </w:r>
    </w:p>
    <w:p w:rsidR="008A4AEF" w:rsidRPr="008A4AEF" w:rsidRDefault="008A4AEF" w:rsidP="008A4AEF">
      <w:pPr>
        <w:numPr>
          <w:ilvl w:val="0"/>
          <w:numId w:val="14"/>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Increased stamina and drive</w:t>
      </w:r>
    </w:p>
    <w:p w:rsidR="008A4AEF" w:rsidRPr="008A4AEF" w:rsidRDefault="008A4AEF" w:rsidP="008A4AEF">
      <w:pPr>
        <w:numPr>
          <w:ilvl w:val="0"/>
          <w:numId w:val="14"/>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Aggressiveness, impulsiveness</w:t>
      </w:r>
    </w:p>
    <w:p w:rsidR="008A4AEF" w:rsidRPr="008A4AEF" w:rsidRDefault="008A4AEF" w:rsidP="008A4AEF">
      <w:pPr>
        <w:numPr>
          <w:ilvl w:val="0"/>
          <w:numId w:val="14"/>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Hypertension</w:t>
      </w:r>
    </w:p>
    <w:p w:rsidR="008A4AEF" w:rsidRPr="008A4AEF" w:rsidRDefault="008A4AEF" w:rsidP="008A4AEF">
      <w:pPr>
        <w:numPr>
          <w:ilvl w:val="0"/>
          <w:numId w:val="14"/>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Diabetes</w:t>
      </w:r>
    </w:p>
    <w:p w:rsidR="008A4AEF" w:rsidRPr="008A4AEF" w:rsidRDefault="008A4AEF" w:rsidP="008A4AEF">
      <w:pPr>
        <w:numPr>
          <w:ilvl w:val="0"/>
          <w:numId w:val="14"/>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Type A personality</w:t>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Trends Associated with the Sodium/Magnesium Ratio:</w:t>
      </w:r>
    </w:p>
    <w:tbl>
      <w:tblPr>
        <w:tblW w:w="5000" w:type="pct"/>
        <w:tblCellSpacing w:w="0" w:type="dxa"/>
        <w:tblCellMar>
          <w:left w:w="0" w:type="dxa"/>
          <w:right w:w="0" w:type="dxa"/>
        </w:tblCellMar>
        <w:tblLook w:val="04A0" w:firstRow="1" w:lastRow="0" w:firstColumn="1" w:lastColumn="0" w:noHBand="0" w:noVBand="1"/>
      </w:tblPr>
      <w:tblGrid>
        <w:gridCol w:w="1685"/>
        <w:gridCol w:w="7675"/>
      </w:tblGrid>
      <w:tr w:rsidR="008A4AEF" w:rsidRPr="008A4AEF" w:rsidTr="008A4AEF">
        <w:trPr>
          <w:trHeight w:val="324"/>
          <w:tblCellSpacing w:w="0" w:type="dxa"/>
        </w:trPr>
        <w:tc>
          <w:tcPr>
            <w:tcW w:w="90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Ratio:</w:t>
            </w:r>
          </w:p>
        </w:tc>
        <w:tc>
          <w:tcPr>
            <w:tcW w:w="410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Trend:</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16+</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Extremely overactive adrenals 50% or more energy loss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8 - 16</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Moderate excessive adrenals 25-50% energy loss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4.17 - 8</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Mild excessive adrenal activity 10-25% energy loss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4.17</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IDEAL 100% energy</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2 - 4.17</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Mild sluggish adrenal activity 10-25% energy loss</w:t>
            </w:r>
          </w:p>
        </w:tc>
      </w:tr>
      <w:tr w:rsidR="008A4AEF" w:rsidRPr="008A4AEF" w:rsidTr="008A4AEF">
        <w:trPr>
          <w:trHeight w:val="348"/>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xml:space="preserve">1 - 2 </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Moderate sluggish adrenals 25-50% energy loss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Below 1</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Adrenal Insufficiency 50% or more energy loss</w:t>
            </w:r>
          </w:p>
        </w:tc>
      </w:tr>
    </w:tbl>
    <w:p w:rsidR="008A4AEF" w:rsidRPr="008A4AEF" w:rsidRDefault="008A4AEF" w:rsidP="008A4AEF">
      <w:pPr>
        <w:spacing w:after="0" w:line="240" w:lineRule="auto"/>
        <w:rPr>
          <w:rFonts w:ascii="Arial" w:eastAsia="Times New Roman" w:hAnsi="Arial" w:cs="Arial"/>
          <w:b/>
          <w:sz w:val="20"/>
          <w:szCs w:val="20"/>
        </w:rPr>
      </w:pPr>
      <w:r w:rsidRPr="008A4AEF">
        <w:rPr>
          <w:rFonts w:ascii="Arial" w:eastAsia="Times New Roman" w:hAnsi="Arial" w:cs="Arial"/>
          <w:sz w:val="20"/>
          <w:szCs w:val="20"/>
        </w:rPr>
        <w:br/>
      </w:r>
      <w:r w:rsidRPr="003720AA">
        <w:rPr>
          <w:rFonts w:ascii="Arial" w:eastAsia="Times New Roman" w:hAnsi="Arial" w:cs="Arial"/>
          <w:b/>
          <w:sz w:val="20"/>
          <w:szCs w:val="20"/>
        </w:rPr>
        <w:t>Factors which may Modify the Interpretation of the Ratio:</w:t>
      </w:r>
      <w:r w:rsidRPr="008A4AEF">
        <w:rPr>
          <w:rFonts w:ascii="Arial" w:eastAsia="Times New Roman" w:hAnsi="Arial" w:cs="Arial"/>
          <w:b/>
          <w:sz w:val="20"/>
          <w:szCs w:val="20"/>
        </w:rPr>
        <w:t xml:space="preserve"> </w:t>
      </w:r>
    </w:p>
    <w:p w:rsidR="008A4AEF" w:rsidRPr="008A4AEF" w:rsidRDefault="008A4AEF" w:rsidP="008A4AEF">
      <w:pPr>
        <w:numPr>
          <w:ilvl w:val="0"/>
          <w:numId w:val="15"/>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Sodium levels can be elevated by cadmium, mercury, copper, iron and nickel. An excess of these minerals will raise the sodium level temporarily, although adrenal function may actually be low. Look at every chart for the presence of these metals when evaluating the adrenal ratio.</w:t>
      </w:r>
    </w:p>
    <w:p w:rsidR="008A4AEF" w:rsidRPr="008A4AEF" w:rsidRDefault="008A4AEF" w:rsidP="008A4AEF">
      <w:pPr>
        <w:numPr>
          <w:ilvl w:val="0"/>
          <w:numId w:val="15"/>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Magnesium and sodium are rarely lost through the hair, causing a "false" reading.</w:t>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Zinc/Copper (Zn/Cu) Ratio:</w:t>
      </w:r>
      <w:r w:rsidRPr="008A4AEF">
        <w:rPr>
          <w:rFonts w:ascii="Arial" w:eastAsia="Times New Roman" w:hAnsi="Arial" w:cs="Arial"/>
          <w:b/>
          <w:sz w:val="20"/>
          <w:szCs w:val="20"/>
        </w:rPr>
        <w:t xml:space="preserve"> </w:t>
      </w:r>
    </w:p>
    <w:p w:rsidR="008A4AEF" w:rsidRPr="008A4AEF" w:rsidRDefault="008A4AEF" w:rsidP="008A4AEF">
      <w:pPr>
        <w:numPr>
          <w:ilvl w:val="0"/>
          <w:numId w:val="16"/>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t>Using the zinc/copper ratio is a much more effective method of evaluating zinc and copper readings than considering either copper or zinc levels alone.</w:t>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Symptoms of High Copper (Excess) and/or Low Zinc (Deficiency) Include:</w:t>
      </w:r>
      <w:r w:rsidRPr="008A4AEF">
        <w:rPr>
          <w:rFonts w:ascii="Arial" w:eastAsia="Times New Roman" w:hAnsi="Arial" w:cs="Arial"/>
          <w:b/>
          <w:sz w:val="20"/>
          <w:szCs w:val="20"/>
        </w:rPr>
        <w:t xml:space="preserve"> </w:t>
      </w:r>
    </w:p>
    <w:p w:rsidR="008A4AEF" w:rsidRPr="008A4AEF" w:rsidRDefault="008A4AEF" w:rsidP="008A4AEF">
      <w:pPr>
        <w:numPr>
          <w:ilvl w:val="0"/>
          <w:numId w:val="17"/>
        </w:numPr>
        <w:spacing w:before="100" w:beforeAutospacing="1" w:after="100" w:afterAutospacing="1" w:line="240" w:lineRule="auto"/>
        <w:rPr>
          <w:rFonts w:ascii="Arial" w:eastAsia="Times New Roman" w:hAnsi="Arial" w:cs="Arial"/>
          <w:sz w:val="20"/>
          <w:szCs w:val="20"/>
        </w:rPr>
      </w:pPr>
      <w:r w:rsidRPr="008A4AEF">
        <w:rPr>
          <w:rFonts w:ascii="Arial" w:eastAsia="Times New Roman" w:hAnsi="Arial" w:cs="Arial"/>
          <w:sz w:val="20"/>
          <w:szCs w:val="20"/>
        </w:rPr>
        <w:lastRenderedPageBreak/>
        <w:t>Skin problems (acne, psoriasis, slow healing, eczema), emotional instability, "spaciness", detached behavior, schizophrenia, PMS, reproductive problems, prostatitis, menstrual difficulties depression and fatigue.</w:t>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Trends Associated with the Zinc/Copper Ratio:</w:t>
      </w:r>
      <w:r w:rsidRPr="008A4AEF">
        <w:rPr>
          <w:rFonts w:ascii="Arial" w:eastAsia="Times New Roman" w:hAnsi="Arial" w:cs="Arial"/>
          <w:b/>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368"/>
        <w:gridCol w:w="7986"/>
        <w:gridCol w:w="6"/>
      </w:tblGrid>
      <w:tr w:rsidR="008A4AEF" w:rsidRPr="008A4AEF" w:rsidTr="008A4AEF">
        <w:trPr>
          <w:gridAfter w:val="1"/>
          <w:wAfter w:w="144" w:type="dxa"/>
          <w:trHeight w:val="324"/>
          <w:tblCellSpacing w:w="0" w:type="dxa"/>
        </w:trPr>
        <w:tc>
          <w:tcPr>
            <w:tcW w:w="75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Ratio:</w:t>
            </w:r>
          </w:p>
        </w:tc>
        <w:tc>
          <w:tcPr>
            <w:tcW w:w="430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Trends:</w:t>
            </w: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16+</w:t>
            </w:r>
          </w:p>
        </w:tc>
        <w:tc>
          <w:tcPr>
            <w:tcW w:w="430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severe copper deficiency or bio-unavailability of copper</w:t>
            </w:r>
          </w:p>
        </w:tc>
        <w:tc>
          <w:tcPr>
            <w:tcW w:w="-50" w:type="pct"/>
            <w:vAlign w:val="center"/>
            <w:hideMark/>
          </w:tcPr>
          <w:p w:rsidR="008A4AEF" w:rsidRPr="008A4AEF" w:rsidRDefault="008A4AEF" w:rsidP="008A4AEF">
            <w:pPr>
              <w:spacing w:after="0" w:line="240" w:lineRule="auto"/>
              <w:rPr>
                <w:rFonts w:ascii="Arial" w:eastAsia="Times New Roman" w:hAnsi="Arial" w:cs="Arial"/>
                <w:sz w:val="20"/>
                <w:szCs w:val="20"/>
              </w:rPr>
            </w:pP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8+ - 16</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copper deficiency or unavailability</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8</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IDEAL</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4.51-7.99</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possible copper toxicity</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2 - 4.50</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copper toxicity</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p>
        </w:tc>
      </w:tr>
      <w:tr w:rsidR="008A4AEF" w:rsidRPr="008A4AEF" w:rsidTr="008A4AEF">
        <w:trPr>
          <w:trHeight w:val="324"/>
          <w:tblCellSpacing w:w="0" w:type="dxa"/>
        </w:trPr>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Below 2</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severe copper toxicity - excessive breakdown, emotional instability, zinc deficiency problems such as impotence, slow healing, loss of taste, smell, appetite, and hair loss.</w:t>
            </w:r>
          </w:p>
        </w:tc>
        <w:tc>
          <w:tcPr>
            <w:tcW w:w="0" w:type="auto"/>
            <w:vAlign w:val="center"/>
            <w:hideMark/>
          </w:tcPr>
          <w:p w:rsidR="008A4AEF" w:rsidRPr="008A4AEF" w:rsidRDefault="008A4AEF" w:rsidP="008A4AEF">
            <w:pPr>
              <w:spacing w:after="0" w:line="240" w:lineRule="auto"/>
              <w:rPr>
                <w:rFonts w:ascii="Arial" w:eastAsia="Times New Roman" w:hAnsi="Arial" w:cs="Arial"/>
                <w:sz w:val="20"/>
                <w:szCs w:val="20"/>
              </w:rPr>
            </w:pPr>
          </w:p>
        </w:tc>
      </w:tr>
    </w:tbl>
    <w:p w:rsidR="008A4AEF" w:rsidRPr="008A4AEF" w:rsidRDefault="008A4AEF" w:rsidP="008A4AEF">
      <w:pPr>
        <w:spacing w:after="0" w:line="240" w:lineRule="auto"/>
        <w:rPr>
          <w:rFonts w:ascii="Arial" w:eastAsia="Times New Roman" w:hAnsi="Arial" w:cs="Arial"/>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596"/>
        <w:gridCol w:w="7794"/>
      </w:tblGrid>
      <w:tr w:rsidR="008A4AEF" w:rsidRPr="008A4AEF" w:rsidTr="008A4AEF">
        <w:trPr>
          <w:trHeight w:val="540"/>
        </w:trPr>
        <w:tc>
          <w:tcPr>
            <w:tcW w:w="0" w:type="auto"/>
            <w:gridSpan w:val="2"/>
            <w:vAlign w:val="center"/>
            <w:hideMark/>
          </w:tcPr>
          <w:p w:rsidR="003720AA" w:rsidRPr="003720AA"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Oxidation Types</w:t>
            </w:r>
            <w:r w:rsidRPr="008A4AEF">
              <w:rPr>
                <w:rFonts w:ascii="Arial" w:eastAsia="Times New Roman" w:hAnsi="Arial" w:cs="Arial"/>
                <w:b/>
                <w:sz w:val="20"/>
                <w:szCs w:val="20"/>
              </w:rPr>
              <w:br/>
            </w:r>
          </w:p>
          <w:p w:rsidR="008A4AEF" w:rsidRPr="008A4AEF" w:rsidRDefault="008A4AEF" w:rsidP="008A4AEF">
            <w:pPr>
              <w:spacing w:after="0" w:line="240" w:lineRule="auto"/>
              <w:rPr>
                <w:rFonts w:ascii="Arial" w:eastAsia="Times New Roman" w:hAnsi="Arial" w:cs="Arial"/>
                <w:b/>
                <w:sz w:val="20"/>
                <w:szCs w:val="20"/>
              </w:rPr>
            </w:pPr>
            <w:r w:rsidRPr="003720AA">
              <w:rPr>
                <w:rFonts w:ascii="Arial" w:eastAsia="Times New Roman" w:hAnsi="Arial" w:cs="Arial"/>
                <w:b/>
                <w:sz w:val="20"/>
                <w:szCs w:val="20"/>
              </w:rPr>
              <w:t>Definition of Fast Oxidation:</w:t>
            </w:r>
          </w:p>
        </w:tc>
      </w:tr>
      <w:tr w:rsidR="008A4AEF" w:rsidRPr="008A4AEF" w:rsidTr="008A4AEF">
        <w:trPr>
          <w:trHeight w:val="324"/>
        </w:trPr>
        <w:tc>
          <w:tcPr>
            <w:tcW w:w="0" w:type="auto"/>
            <w:gridSpan w:val="2"/>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Calcium/Potassium Ratio Less Than 4:1</w:t>
            </w:r>
          </w:p>
        </w:tc>
      </w:tr>
      <w:tr w:rsidR="008A4AEF" w:rsidRPr="008A4AEF" w:rsidTr="008A4AEF">
        <w:trPr>
          <w:trHeight w:val="324"/>
        </w:trPr>
        <w:tc>
          <w:tcPr>
            <w:tcW w:w="85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w:t>
            </w:r>
          </w:p>
        </w:tc>
        <w:tc>
          <w:tcPr>
            <w:tcW w:w="415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color w:val="FF0000"/>
                <w:sz w:val="20"/>
                <w:szCs w:val="20"/>
              </w:rPr>
              <w:t>and</w:t>
            </w:r>
          </w:p>
        </w:tc>
      </w:tr>
      <w:tr w:rsidR="008A4AEF" w:rsidRPr="008A4AEF" w:rsidTr="008A4AEF">
        <w:trPr>
          <w:trHeight w:val="324"/>
        </w:trPr>
        <w:tc>
          <w:tcPr>
            <w:tcW w:w="0" w:type="auto"/>
            <w:gridSpan w:val="2"/>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Sodium/Magnesium Ratio Greater Than 4.17:1</w:t>
            </w:r>
          </w:p>
        </w:tc>
      </w:tr>
      <w:tr w:rsidR="008A4AEF" w:rsidRPr="008A4AEF" w:rsidTr="008A4AEF">
        <w:trPr>
          <w:trHeight w:val="216"/>
        </w:trPr>
        <w:tc>
          <w:tcPr>
            <w:tcW w:w="0" w:type="auto"/>
            <w:gridSpan w:val="2"/>
            <w:vAlign w:val="center"/>
            <w:hideMark/>
          </w:tcPr>
          <w:p w:rsidR="008A4AEF" w:rsidRPr="008A4AEF" w:rsidRDefault="008A4AEF" w:rsidP="008A4AEF">
            <w:pPr>
              <w:spacing w:after="0" w:line="216" w:lineRule="atLeast"/>
              <w:rPr>
                <w:rFonts w:ascii="Arial" w:eastAsia="Times New Roman" w:hAnsi="Arial" w:cs="Arial"/>
                <w:sz w:val="20"/>
                <w:szCs w:val="20"/>
              </w:rPr>
            </w:pPr>
            <w:r w:rsidRPr="008A4AEF">
              <w:rPr>
                <w:rFonts w:ascii="Arial" w:eastAsia="Times New Roman" w:hAnsi="Arial" w:cs="Arial"/>
                <w:sz w:val="20"/>
                <w:szCs w:val="20"/>
              </w:rPr>
              <w:t> </w:t>
            </w:r>
          </w:p>
        </w:tc>
      </w:tr>
      <w:tr w:rsidR="008A4AEF" w:rsidRPr="008A4AEF" w:rsidTr="008A4AEF">
        <w:trPr>
          <w:trHeight w:val="324"/>
        </w:trPr>
        <w:tc>
          <w:tcPr>
            <w:tcW w:w="0" w:type="auto"/>
            <w:gridSpan w:val="2"/>
            <w:vAlign w:val="center"/>
            <w:hideMark/>
          </w:tcPr>
          <w:p w:rsidR="008A4AEF" w:rsidRPr="008A4AEF" w:rsidRDefault="008A4AEF" w:rsidP="008A4AEF">
            <w:pPr>
              <w:spacing w:after="0" w:line="240" w:lineRule="auto"/>
              <w:rPr>
                <w:rFonts w:ascii="Arial" w:eastAsia="Times New Roman" w:hAnsi="Arial" w:cs="Arial"/>
                <w:b/>
                <w:sz w:val="20"/>
                <w:szCs w:val="20"/>
              </w:rPr>
            </w:pPr>
            <w:r w:rsidRPr="008A4AEF">
              <w:rPr>
                <w:rFonts w:ascii="Arial" w:eastAsia="Times New Roman" w:hAnsi="Arial" w:cs="Arial"/>
                <w:b/>
                <w:sz w:val="20"/>
                <w:szCs w:val="20"/>
              </w:rPr>
              <w:t>Definition of Slow Oxidation:</w:t>
            </w:r>
          </w:p>
        </w:tc>
      </w:tr>
      <w:tr w:rsidR="008A4AEF" w:rsidRPr="008A4AEF" w:rsidTr="008A4AEF">
        <w:trPr>
          <w:trHeight w:val="324"/>
        </w:trPr>
        <w:tc>
          <w:tcPr>
            <w:tcW w:w="0" w:type="auto"/>
            <w:gridSpan w:val="2"/>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Calcium/Potassium Ratio Greater Than 4:1</w:t>
            </w:r>
          </w:p>
        </w:tc>
      </w:tr>
      <w:tr w:rsidR="008A4AEF" w:rsidRPr="008A4AEF" w:rsidTr="008A4AEF">
        <w:trPr>
          <w:trHeight w:val="324"/>
        </w:trPr>
        <w:tc>
          <w:tcPr>
            <w:tcW w:w="850" w:type="pct"/>
            <w:vAlign w:val="center"/>
            <w:hideMark/>
          </w:tcPr>
          <w:p w:rsidR="008A4AEF" w:rsidRPr="008A4AEF" w:rsidRDefault="008A4AEF" w:rsidP="008A4AEF">
            <w:pPr>
              <w:spacing w:after="0" w:line="240" w:lineRule="auto"/>
              <w:rPr>
                <w:rFonts w:ascii="Arial" w:eastAsia="Times New Roman" w:hAnsi="Arial" w:cs="Arial"/>
                <w:color w:val="FF0000"/>
                <w:sz w:val="20"/>
                <w:szCs w:val="20"/>
              </w:rPr>
            </w:pPr>
            <w:r w:rsidRPr="008A4AEF">
              <w:rPr>
                <w:rFonts w:ascii="Arial" w:eastAsia="Times New Roman" w:hAnsi="Arial" w:cs="Arial"/>
                <w:color w:val="FF0000"/>
                <w:sz w:val="20"/>
                <w:szCs w:val="20"/>
              </w:rPr>
              <w:t> </w:t>
            </w:r>
          </w:p>
        </w:tc>
        <w:tc>
          <w:tcPr>
            <w:tcW w:w="4150" w:type="pct"/>
            <w:vAlign w:val="center"/>
            <w:hideMark/>
          </w:tcPr>
          <w:p w:rsidR="008A4AEF" w:rsidRPr="008A4AEF" w:rsidRDefault="008A4AEF" w:rsidP="008A4AEF">
            <w:pPr>
              <w:spacing w:after="0" w:line="240" w:lineRule="auto"/>
              <w:rPr>
                <w:rFonts w:ascii="Arial" w:eastAsia="Times New Roman" w:hAnsi="Arial" w:cs="Arial"/>
                <w:color w:val="FF0000"/>
                <w:sz w:val="20"/>
                <w:szCs w:val="20"/>
              </w:rPr>
            </w:pPr>
            <w:r w:rsidRPr="008A4AEF">
              <w:rPr>
                <w:rFonts w:ascii="Arial" w:eastAsia="Times New Roman" w:hAnsi="Arial" w:cs="Arial"/>
                <w:color w:val="FF0000"/>
                <w:sz w:val="20"/>
                <w:szCs w:val="20"/>
              </w:rPr>
              <w:t>and</w:t>
            </w:r>
          </w:p>
        </w:tc>
      </w:tr>
      <w:tr w:rsidR="008A4AEF" w:rsidRPr="008A4AEF" w:rsidTr="008A4AEF">
        <w:trPr>
          <w:trHeight w:val="312"/>
        </w:trPr>
        <w:tc>
          <w:tcPr>
            <w:tcW w:w="0" w:type="auto"/>
            <w:gridSpan w:val="2"/>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Sodium/Magnesium Ratio Less Than 4.17:1</w:t>
            </w:r>
          </w:p>
        </w:tc>
      </w:tr>
      <w:tr w:rsidR="008A4AEF" w:rsidRPr="008A4AEF" w:rsidTr="008A4AEF">
        <w:tc>
          <w:tcPr>
            <w:tcW w:w="85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w:t>
            </w:r>
          </w:p>
        </w:tc>
        <w:tc>
          <w:tcPr>
            <w:tcW w:w="415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w:t>
            </w:r>
          </w:p>
        </w:tc>
      </w:tr>
      <w:tr w:rsidR="003720AA" w:rsidRPr="008A4AEF" w:rsidTr="008A4AEF">
        <w:trPr>
          <w:trHeight w:val="324"/>
        </w:trPr>
        <w:tc>
          <w:tcPr>
            <w:tcW w:w="0" w:type="auto"/>
            <w:gridSpan w:val="2"/>
            <w:vAlign w:val="center"/>
            <w:hideMark/>
          </w:tcPr>
          <w:p w:rsidR="008A4AEF" w:rsidRPr="008A4AEF" w:rsidRDefault="008A4AEF" w:rsidP="008A4AEF">
            <w:pPr>
              <w:spacing w:after="0" w:line="240" w:lineRule="auto"/>
              <w:rPr>
                <w:rFonts w:ascii="Arial" w:eastAsia="Times New Roman" w:hAnsi="Arial" w:cs="Arial"/>
                <w:b/>
                <w:sz w:val="20"/>
                <w:szCs w:val="20"/>
              </w:rPr>
            </w:pPr>
            <w:r w:rsidRPr="008A4AEF">
              <w:rPr>
                <w:rFonts w:ascii="Arial" w:eastAsia="Times New Roman" w:hAnsi="Arial" w:cs="Arial"/>
                <w:b/>
                <w:sz w:val="20"/>
                <w:szCs w:val="20"/>
                <w:highlight w:val="yellow"/>
              </w:rPr>
              <w:t>Definition of Mixed Oxidation:</w:t>
            </w:r>
          </w:p>
        </w:tc>
      </w:tr>
      <w:tr w:rsidR="008A4AEF" w:rsidRPr="008A4AEF" w:rsidTr="008A4AEF">
        <w:trPr>
          <w:trHeight w:val="324"/>
        </w:trPr>
        <w:tc>
          <w:tcPr>
            <w:tcW w:w="0" w:type="auto"/>
            <w:gridSpan w:val="2"/>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Calcium/Potassium Ratio Greater Than 4:1</w:t>
            </w:r>
          </w:p>
        </w:tc>
      </w:tr>
      <w:tr w:rsidR="008A4AEF" w:rsidRPr="008A4AEF" w:rsidTr="008A4AEF">
        <w:trPr>
          <w:trHeight w:val="324"/>
        </w:trPr>
        <w:tc>
          <w:tcPr>
            <w:tcW w:w="85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 </w:t>
            </w:r>
          </w:p>
        </w:tc>
        <w:tc>
          <w:tcPr>
            <w:tcW w:w="4150" w:type="pct"/>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color w:val="FF0000"/>
                <w:sz w:val="20"/>
                <w:szCs w:val="20"/>
              </w:rPr>
              <w:t>and</w:t>
            </w:r>
          </w:p>
        </w:tc>
      </w:tr>
      <w:tr w:rsidR="008A4AEF" w:rsidRPr="008A4AEF" w:rsidTr="008A4AEF">
        <w:trPr>
          <w:trHeight w:val="324"/>
        </w:trPr>
        <w:tc>
          <w:tcPr>
            <w:tcW w:w="0" w:type="auto"/>
            <w:gridSpan w:val="2"/>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Sodium/Magnesium Ratio Greater Than 4.17:1</w:t>
            </w:r>
          </w:p>
        </w:tc>
      </w:tr>
      <w:tr w:rsidR="008A4AEF" w:rsidRPr="008A4AEF" w:rsidTr="008A4AEF">
        <w:trPr>
          <w:trHeight w:val="324"/>
        </w:trPr>
        <w:tc>
          <w:tcPr>
            <w:tcW w:w="850" w:type="pct"/>
            <w:vAlign w:val="center"/>
            <w:hideMark/>
          </w:tcPr>
          <w:p w:rsidR="008A4AEF" w:rsidRPr="008A4AEF" w:rsidRDefault="008A4AEF" w:rsidP="008A4AEF">
            <w:pPr>
              <w:spacing w:after="0" w:line="240" w:lineRule="auto"/>
              <w:rPr>
                <w:rFonts w:ascii="Arial" w:eastAsia="Times New Roman" w:hAnsi="Arial" w:cs="Arial"/>
                <w:color w:val="FF0000"/>
                <w:sz w:val="20"/>
                <w:szCs w:val="20"/>
              </w:rPr>
            </w:pPr>
            <w:r w:rsidRPr="008A4AEF">
              <w:rPr>
                <w:rFonts w:ascii="Arial" w:eastAsia="Times New Roman" w:hAnsi="Arial" w:cs="Arial"/>
                <w:color w:val="FF0000"/>
                <w:sz w:val="20"/>
                <w:szCs w:val="20"/>
              </w:rPr>
              <w:t> </w:t>
            </w:r>
          </w:p>
        </w:tc>
        <w:tc>
          <w:tcPr>
            <w:tcW w:w="4150" w:type="pct"/>
            <w:vAlign w:val="center"/>
            <w:hideMark/>
          </w:tcPr>
          <w:p w:rsidR="008A4AEF" w:rsidRPr="008A4AEF" w:rsidRDefault="008A4AEF" w:rsidP="008A4AEF">
            <w:pPr>
              <w:spacing w:after="0" w:line="240" w:lineRule="auto"/>
              <w:rPr>
                <w:rFonts w:ascii="Arial" w:eastAsia="Times New Roman" w:hAnsi="Arial" w:cs="Arial"/>
                <w:color w:val="FF0000"/>
                <w:sz w:val="20"/>
                <w:szCs w:val="20"/>
              </w:rPr>
            </w:pPr>
            <w:r w:rsidRPr="008A4AEF">
              <w:rPr>
                <w:rFonts w:ascii="Arial" w:eastAsia="Times New Roman" w:hAnsi="Arial" w:cs="Arial"/>
                <w:color w:val="FF0000"/>
                <w:sz w:val="20"/>
                <w:szCs w:val="20"/>
              </w:rPr>
              <w:t>or</w:t>
            </w:r>
          </w:p>
        </w:tc>
      </w:tr>
      <w:tr w:rsidR="008A4AEF" w:rsidRPr="008A4AEF" w:rsidTr="008A4AEF">
        <w:trPr>
          <w:trHeight w:val="324"/>
        </w:trPr>
        <w:tc>
          <w:tcPr>
            <w:tcW w:w="0" w:type="auto"/>
            <w:gridSpan w:val="2"/>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Calcium/Potassium Ratio Less Than 4:1</w:t>
            </w:r>
          </w:p>
        </w:tc>
      </w:tr>
      <w:tr w:rsidR="008A4AEF" w:rsidRPr="008A4AEF" w:rsidTr="008A4AEF">
        <w:trPr>
          <w:trHeight w:val="324"/>
        </w:trPr>
        <w:tc>
          <w:tcPr>
            <w:tcW w:w="850" w:type="pct"/>
            <w:vAlign w:val="center"/>
            <w:hideMark/>
          </w:tcPr>
          <w:p w:rsidR="008A4AEF" w:rsidRPr="008A4AEF" w:rsidRDefault="008A4AEF" w:rsidP="008A4AEF">
            <w:pPr>
              <w:spacing w:after="0" w:line="240" w:lineRule="auto"/>
              <w:rPr>
                <w:rFonts w:ascii="Arial" w:eastAsia="Times New Roman" w:hAnsi="Arial" w:cs="Arial"/>
                <w:color w:val="FF0000"/>
                <w:sz w:val="20"/>
                <w:szCs w:val="20"/>
              </w:rPr>
            </w:pPr>
            <w:bookmarkStart w:id="0" w:name="_GoBack" w:colFirst="0" w:colLast="1"/>
            <w:r w:rsidRPr="008A4AEF">
              <w:rPr>
                <w:rFonts w:ascii="Arial" w:eastAsia="Times New Roman" w:hAnsi="Arial" w:cs="Arial"/>
                <w:color w:val="FF0000"/>
                <w:sz w:val="20"/>
                <w:szCs w:val="20"/>
              </w:rPr>
              <w:t> </w:t>
            </w:r>
          </w:p>
        </w:tc>
        <w:tc>
          <w:tcPr>
            <w:tcW w:w="4150" w:type="pct"/>
            <w:vAlign w:val="center"/>
            <w:hideMark/>
          </w:tcPr>
          <w:p w:rsidR="008A4AEF" w:rsidRPr="008A4AEF" w:rsidRDefault="008A4AEF" w:rsidP="008A4AEF">
            <w:pPr>
              <w:spacing w:after="0" w:line="240" w:lineRule="auto"/>
              <w:rPr>
                <w:rFonts w:ascii="Arial" w:eastAsia="Times New Roman" w:hAnsi="Arial" w:cs="Arial"/>
                <w:color w:val="FF0000"/>
                <w:sz w:val="20"/>
                <w:szCs w:val="20"/>
              </w:rPr>
            </w:pPr>
            <w:r w:rsidRPr="008A4AEF">
              <w:rPr>
                <w:rFonts w:ascii="Arial" w:eastAsia="Times New Roman" w:hAnsi="Arial" w:cs="Arial"/>
                <w:color w:val="FF0000"/>
                <w:sz w:val="20"/>
                <w:szCs w:val="20"/>
              </w:rPr>
              <w:t>and</w:t>
            </w:r>
          </w:p>
        </w:tc>
      </w:tr>
      <w:bookmarkEnd w:id="0"/>
      <w:tr w:rsidR="008A4AEF" w:rsidRPr="008A4AEF" w:rsidTr="008A4AEF">
        <w:trPr>
          <w:trHeight w:val="324"/>
        </w:trPr>
        <w:tc>
          <w:tcPr>
            <w:tcW w:w="0" w:type="auto"/>
            <w:gridSpan w:val="2"/>
            <w:vAlign w:val="center"/>
            <w:hideMark/>
          </w:tcPr>
          <w:p w:rsidR="008A4AEF" w:rsidRPr="008A4AEF" w:rsidRDefault="008A4AEF" w:rsidP="008A4AEF">
            <w:pPr>
              <w:spacing w:after="0" w:line="240" w:lineRule="auto"/>
              <w:rPr>
                <w:rFonts w:ascii="Arial" w:eastAsia="Times New Roman" w:hAnsi="Arial" w:cs="Arial"/>
                <w:sz w:val="20"/>
                <w:szCs w:val="20"/>
              </w:rPr>
            </w:pPr>
            <w:r w:rsidRPr="008A4AEF">
              <w:rPr>
                <w:rFonts w:ascii="Arial" w:eastAsia="Times New Roman" w:hAnsi="Arial" w:cs="Arial"/>
                <w:sz w:val="20"/>
                <w:szCs w:val="20"/>
              </w:rPr>
              <w:t>Sodium/Magnesium Ratio Less Than 4.17:1</w:t>
            </w:r>
          </w:p>
        </w:tc>
      </w:tr>
    </w:tbl>
    <w:p w:rsidR="008A4AEF" w:rsidRPr="008A4AEF" w:rsidRDefault="003720AA" w:rsidP="008A4AEF">
      <w:pPr>
        <w:spacing w:after="0" w:line="240" w:lineRule="auto"/>
        <w:rPr>
          <w:rFonts w:ascii="Arial" w:eastAsia="Times New Roman" w:hAnsi="Arial" w:cs="Arial"/>
          <w:sz w:val="20"/>
          <w:szCs w:val="20"/>
        </w:rPr>
      </w:pPr>
      <w:r>
        <w:rPr>
          <w:rFonts w:ascii="Arial" w:eastAsia="Times New Roman" w:hAnsi="Arial" w:cs="Arial"/>
          <w:sz w:val="20"/>
          <w:szCs w:val="20"/>
        </w:rPr>
        <w:br/>
      </w:r>
      <w:r w:rsidR="008A4AEF" w:rsidRPr="008A4AEF">
        <w:rPr>
          <w:rFonts w:ascii="Arial" w:eastAsia="Times New Roman" w:hAnsi="Arial" w:cs="Arial"/>
          <w:sz w:val="20"/>
          <w:szCs w:val="20"/>
        </w:rPr>
        <w:t xml:space="preserve">Copyright © 1987 - Analytical Research Laboratories, Inc. </w:t>
      </w:r>
    </w:p>
    <w:p w:rsidR="008A4AEF" w:rsidRPr="008A4AEF" w:rsidRDefault="008A4AEF" w:rsidP="008A4AEF">
      <w:pPr>
        <w:spacing w:before="100" w:beforeAutospacing="1" w:after="100" w:afterAutospacing="1" w:line="240" w:lineRule="auto"/>
        <w:ind w:left="360"/>
        <w:jc w:val="center"/>
        <w:rPr>
          <w:rFonts w:ascii="Arial" w:eastAsia="Times New Roman" w:hAnsi="Arial" w:cs="Arial"/>
          <w:sz w:val="20"/>
          <w:szCs w:val="20"/>
        </w:rPr>
      </w:pPr>
      <w:r w:rsidRPr="008A4AEF">
        <w:rPr>
          <w:rFonts w:ascii="Arial" w:eastAsia="Times New Roman" w:hAnsi="Arial" w:cs="Arial"/>
          <w:sz w:val="20"/>
          <w:szCs w:val="20"/>
        </w:rPr>
        <w:t>This material is for educational purposes only.  The preceding statements have not been evaluated by the  Food and Drug Administration. This information is not intended to diagnose, treat, cure or prevent any disease.</w:t>
      </w:r>
    </w:p>
    <w:sectPr w:rsidR="008A4AEF" w:rsidRPr="008A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0817"/>
    <w:multiLevelType w:val="multilevel"/>
    <w:tmpl w:val="26D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23654"/>
    <w:multiLevelType w:val="multilevel"/>
    <w:tmpl w:val="F1FC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0461C"/>
    <w:multiLevelType w:val="multilevel"/>
    <w:tmpl w:val="E0D6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25770"/>
    <w:multiLevelType w:val="multilevel"/>
    <w:tmpl w:val="4298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E62DB"/>
    <w:multiLevelType w:val="multilevel"/>
    <w:tmpl w:val="82F2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53092"/>
    <w:multiLevelType w:val="multilevel"/>
    <w:tmpl w:val="397C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D64A9"/>
    <w:multiLevelType w:val="multilevel"/>
    <w:tmpl w:val="F44A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A1268"/>
    <w:multiLevelType w:val="multilevel"/>
    <w:tmpl w:val="C882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363B1"/>
    <w:multiLevelType w:val="multilevel"/>
    <w:tmpl w:val="A2CA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01866"/>
    <w:multiLevelType w:val="multilevel"/>
    <w:tmpl w:val="5B7A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25A10"/>
    <w:multiLevelType w:val="multilevel"/>
    <w:tmpl w:val="C90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50EC5"/>
    <w:multiLevelType w:val="multilevel"/>
    <w:tmpl w:val="B806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7B7C0E"/>
    <w:multiLevelType w:val="multilevel"/>
    <w:tmpl w:val="CFEA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4E376B"/>
    <w:multiLevelType w:val="multilevel"/>
    <w:tmpl w:val="8A58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11B60"/>
    <w:multiLevelType w:val="multilevel"/>
    <w:tmpl w:val="BB70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30727"/>
    <w:multiLevelType w:val="multilevel"/>
    <w:tmpl w:val="07C0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2457F1"/>
    <w:multiLevelType w:val="multilevel"/>
    <w:tmpl w:val="1EF4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1"/>
  </w:num>
  <w:num w:numId="5">
    <w:abstractNumId w:val="14"/>
  </w:num>
  <w:num w:numId="6">
    <w:abstractNumId w:val="5"/>
  </w:num>
  <w:num w:numId="7">
    <w:abstractNumId w:val="8"/>
  </w:num>
  <w:num w:numId="8">
    <w:abstractNumId w:val="13"/>
  </w:num>
  <w:num w:numId="9">
    <w:abstractNumId w:val="7"/>
  </w:num>
  <w:num w:numId="10">
    <w:abstractNumId w:val="12"/>
  </w:num>
  <w:num w:numId="11">
    <w:abstractNumId w:val="10"/>
  </w:num>
  <w:num w:numId="12">
    <w:abstractNumId w:val="6"/>
  </w:num>
  <w:num w:numId="13">
    <w:abstractNumId w:val="3"/>
  </w:num>
  <w:num w:numId="14">
    <w:abstractNumId w:val="1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EF"/>
    <w:rsid w:val="003720AA"/>
    <w:rsid w:val="0087088C"/>
    <w:rsid w:val="008A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4A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A4A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AE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A4AE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A4AEF"/>
    <w:rPr>
      <w:color w:val="0000FF"/>
      <w:u w:val="single"/>
    </w:rPr>
  </w:style>
  <w:style w:type="paragraph" w:styleId="NormalWeb">
    <w:name w:val="Normal (Web)"/>
    <w:basedOn w:val="Normal"/>
    <w:uiPriority w:val="99"/>
    <w:semiHidden/>
    <w:unhideWhenUsed/>
    <w:rsid w:val="008A4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
    <w:name w:val="chart_body_bold_italic"/>
    <w:basedOn w:val="DefaultParagraphFont"/>
    <w:rsid w:val="008A4AEF"/>
  </w:style>
  <w:style w:type="character" w:customStyle="1" w:styleId="chartbody">
    <w:name w:val="chart_body"/>
    <w:basedOn w:val="DefaultParagraphFont"/>
    <w:rsid w:val="008A4AEF"/>
  </w:style>
  <w:style w:type="character" w:customStyle="1" w:styleId="chartbodybolditalicblack">
    <w:name w:val="chart_body_bold_italic_black"/>
    <w:basedOn w:val="DefaultParagraphFont"/>
    <w:rsid w:val="008A4AEF"/>
  </w:style>
  <w:style w:type="character" w:customStyle="1" w:styleId="chartbodyitalicblue">
    <w:name w:val="chart_body_italic_blue"/>
    <w:basedOn w:val="DefaultParagraphFont"/>
    <w:rsid w:val="008A4AEF"/>
  </w:style>
  <w:style w:type="paragraph" w:styleId="BalloonText">
    <w:name w:val="Balloon Text"/>
    <w:basedOn w:val="Normal"/>
    <w:link w:val="BalloonTextChar"/>
    <w:uiPriority w:val="99"/>
    <w:semiHidden/>
    <w:unhideWhenUsed/>
    <w:rsid w:val="008A4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4A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A4A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AE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A4AE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A4AEF"/>
    <w:rPr>
      <w:color w:val="0000FF"/>
      <w:u w:val="single"/>
    </w:rPr>
  </w:style>
  <w:style w:type="paragraph" w:styleId="NormalWeb">
    <w:name w:val="Normal (Web)"/>
    <w:basedOn w:val="Normal"/>
    <w:uiPriority w:val="99"/>
    <w:semiHidden/>
    <w:unhideWhenUsed/>
    <w:rsid w:val="008A4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
    <w:name w:val="chart_body_bold_italic"/>
    <w:basedOn w:val="DefaultParagraphFont"/>
    <w:rsid w:val="008A4AEF"/>
  </w:style>
  <w:style w:type="character" w:customStyle="1" w:styleId="chartbody">
    <w:name w:val="chart_body"/>
    <w:basedOn w:val="DefaultParagraphFont"/>
    <w:rsid w:val="008A4AEF"/>
  </w:style>
  <w:style w:type="character" w:customStyle="1" w:styleId="chartbodybolditalicblack">
    <w:name w:val="chart_body_bold_italic_black"/>
    <w:basedOn w:val="DefaultParagraphFont"/>
    <w:rsid w:val="008A4AEF"/>
  </w:style>
  <w:style w:type="character" w:customStyle="1" w:styleId="chartbodyitalicblue">
    <w:name w:val="chart_body_italic_blue"/>
    <w:basedOn w:val="DefaultParagraphFont"/>
    <w:rsid w:val="008A4AEF"/>
  </w:style>
  <w:style w:type="paragraph" w:styleId="BalloonText">
    <w:name w:val="Balloon Text"/>
    <w:basedOn w:val="Normal"/>
    <w:link w:val="BalloonTextChar"/>
    <w:uiPriority w:val="99"/>
    <w:semiHidden/>
    <w:unhideWhenUsed/>
    <w:rsid w:val="008A4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3898">
      <w:bodyDiv w:val="1"/>
      <w:marLeft w:val="0"/>
      <w:marRight w:val="0"/>
      <w:marTop w:val="0"/>
      <w:marBottom w:val="0"/>
      <w:divBdr>
        <w:top w:val="none" w:sz="0" w:space="0" w:color="auto"/>
        <w:left w:val="none" w:sz="0" w:space="0" w:color="auto"/>
        <w:bottom w:val="none" w:sz="0" w:space="0" w:color="auto"/>
        <w:right w:val="none" w:sz="0" w:space="0" w:color="auto"/>
      </w:divBdr>
      <w:divsChild>
        <w:div w:id="749082579">
          <w:marLeft w:val="0"/>
          <w:marRight w:val="0"/>
          <w:marTop w:val="0"/>
          <w:marBottom w:val="0"/>
          <w:divBdr>
            <w:top w:val="none" w:sz="0" w:space="0" w:color="auto"/>
            <w:left w:val="none" w:sz="0" w:space="0" w:color="auto"/>
            <w:bottom w:val="none" w:sz="0" w:space="0" w:color="auto"/>
            <w:right w:val="none" w:sz="0" w:space="0" w:color="auto"/>
          </w:divBdr>
          <w:divsChild>
            <w:div w:id="292444818">
              <w:marLeft w:val="0"/>
              <w:marRight w:val="0"/>
              <w:marTop w:val="0"/>
              <w:marBottom w:val="0"/>
              <w:divBdr>
                <w:top w:val="none" w:sz="0" w:space="0" w:color="auto"/>
                <w:left w:val="none" w:sz="0" w:space="0" w:color="auto"/>
                <w:bottom w:val="none" w:sz="0" w:space="0" w:color="auto"/>
                <w:right w:val="none" w:sz="0" w:space="0" w:color="auto"/>
              </w:divBdr>
              <w:divsChild>
                <w:div w:id="1860703072">
                  <w:marLeft w:val="0"/>
                  <w:marRight w:val="0"/>
                  <w:marTop w:val="0"/>
                  <w:marBottom w:val="0"/>
                  <w:divBdr>
                    <w:top w:val="none" w:sz="0" w:space="0" w:color="auto"/>
                    <w:left w:val="none" w:sz="0" w:space="0" w:color="auto"/>
                    <w:bottom w:val="none" w:sz="0" w:space="0" w:color="auto"/>
                    <w:right w:val="none" w:sz="0" w:space="0" w:color="auto"/>
                  </w:divBdr>
                  <w:divsChild>
                    <w:div w:id="1258249507">
                      <w:marLeft w:val="0"/>
                      <w:marRight w:val="0"/>
                      <w:marTop w:val="0"/>
                      <w:marBottom w:val="0"/>
                      <w:divBdr>
                        <w:top w:val="none" w:sz="0" w:space="0" w:color="auto"/>
                        <w:left w:val="none" w:sz="0" w:space="0" w:color="auto"/>
                        <w:bottom w:val="none" w:sz="0" w:space="0" w:color="auto"/>
                        <w:right w:val="none" w:sz="0" w:space="0" w:color="auto"/>
                      </w:divBdr>
                    </w:div>
                    <w:div w:id="917833227">
                      <w:marLeft w:val="0"/>
                      <w:marRight w:val="0"/>
                      <w:marTop w:val="0"/>
                      <w:marBottom w:val="0"/>
                      <w:divBdr>
                        <w:top w:val="none" w:sz="0" w:space="0" w:color="auto"/>
                        <w:left w:val="none" w:sz="0" w:space="0" w:color="auto"/>
                        <w:bottom w:val="none" w:sz="0" w:space="0" w:color="auto"/>
                        <w:right w:val="none" w:sz="0" w:space="0" w:color="auto"/>
                      </w:divBdr>
                    </w:div>
                  </w:divsChild>
                </w:div>
                <w:div w:id="1779249122">
                  <w:marLeft w:val="0"/>
                  <w:marRight w:val="0"/>
                  <w:marTop w:val="0"/>
                  <w:marBottom w:val="0"/>
                  <w:divBdr>
                    <w:top w:val="none" w:sz="0" w:space="0" w:color="auto"/>
                    <w:left w:val="none" w:sz="0" w:space="0" w:color="auto"/>
                    <w:bottom w:val="none" w:sz="0" w:space="0" w:color="auto"/>
                    <w:right w:val="none" w:sz="0" w:space="0" w:color="auto"/>
                  </w:divBdr>
                  <w:divsChild>
                    <w:div w:id="1263536201">
                      <w:marLeft w:val="0"/>
                      <w:marRight w:val="0"/>
                      <w:marTop w:val="0"/>
                      <w:marBottom w:val="0"/>
                      <w:divBdr>
                        <w:top w:val="none" w:sz="0" w:space="0" w:color="auto"/>
                        <w:left w:val="none" w:sz="0" w:space="0" w:color="auto"/>
                        <w:bottom w:val="none" w:sz="0" w:space="0" w:color="auto"/>
                        <w:right w:val="none" w:sz="0" w:space="0" w:color="auto"/>
                      </w:divBdr>
                    </w:div>
                  </w:divsChild>
                </w:div>
                <w:div w:id="612134780">
                  <w:marLeft w:val="0"/>
                  <w:marRight w:val="0"/>
                  <w:marTop w:val="0"/>
                  <w:marBottom w:val="0"/>
                  <w:divBdr>
                    <w:top w:val="none" w:sz="0" w:space="0" w:color="auto"/>
                    <w:left w:val="none" w:sz="0" w:space="0" w:color="auto"/>
                    <w:bottom w:val="none" w:sz="0" w:space="0" w:color="auto"/>
                    <w:right w:val="none" w:sz="0" w:space="0" w:color="auto"/>
                  </w:divBdr>
                  <w:divsChild>
                    <w:div w:id="272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6106">
              <w:marLeft w:val="0"/>
              <w:marRight w:val="0"/>
              <w:marTop w:val="0"/>
              <w:marBottom w:val="0"/>
              <w:divBdr>
                <w:top w:val="none" w:sz="0" w:space="0" w:color="auto"/>
                <w:left w:val="none" w:sz="0" w:space="0" w:color="auto"/>
                <w:bottom w:val="none" w:sz="0" w:space="0" w:color="auto"/>
                <w:right w:val="none" w:sz="0" w:space="0" w:color="auto"/>
              </w:divBdr>
              <w:divsChild>
                <w:div w:id="1432893451">
                  <w:marLeft w:val="0"/>
                  <w:marRight w:val="0"/>
                  <w:marTop w:val="0"/>
                  <w:marBottom w:val="0"/>
                  <w:divBdr>
                    <w:top w:val="none" w:sz="0" w:space="0" w:color="auto"/>
                    <w:left w:val="none" w:sz="0" w:space="0" w:color="auto"/>
                    <w:bottom w:val="none" w:sz="0" w:space="0" w:color="auto"/>
                    <w:right w:val="none" w:sz="0" w:space="0" w:color="auto"/>
                  </w:divBdr>
                  <w:divsChild>
                    <w:div w:id="2021423870">
                      <w:marLeft w:val="0"/>
                      <w:marRight w:val="0"/>
                      <w:marTop w:val="0"/>
                      <w:marBottom w:val="0"/>
                      <w:divBdr>
                        <w:top w:val="none" w:sz="0" w:space="0" w:color="auto"/>
                        <w:left w:val="none" w:sz="0" w:space="0" w:color="auto"/>
                        <w:bottom w:val="none" w:sz="0" w:space="0" w:color="auto"/>
                        <w:right w:val="none" w:sz="0" w:space="0" w:color="auto"/>
                      </w:divBdr>
                      <w:divsChild>
                        <w:div w:id="1218006533">
                          <w:marLeft w:val="0"/>
                          <w:marRight w:val="0"/>
                          <w:marTop w:val="0"/>
                          <w:marBottom w:val="0"/>
                          <w:divBdr>
                            <w:top w:val="none" w:sz="0" w:space="0" w:color="auto"/>
                            <w:left w:val="none" w:sz="0" w:space="0" w:color="auto"/>
                            <w:bottom w:val="none" w:sz="0" w:space="0" w:color="auto"/>
                            <w:right w:val="none" w:sz="0" w:space="0" w:color="auto"/>
                          </w:divBdr>
                          <w:divsChild>
                            <w:div w:id="642075962">
                              <w:marLeft w:val="0"/>
                              <w:marRight w:val="0"/>
                              <w:marTop w:val="0"/>
                              <w:marBottom w:val="0"/>
                              <w:divBdr>
                                <w:top w:val="none" w:sz="0" w:space="0" w:color="auto"/>
                                <w:left w:val="none" w:sz="0" w:space="0" w:color="auto"/>
                                <w:bottom w:val="none" w:sz="0" w:space="0" w:color="auto"/>
                                <w:right w:val="none" w:sz="0" w:space="0" w:color="auto"/>
                              </w:divBdr>
                            </w:div>
                          </w:divsChild>
                        </w:div>
                        <w:div w:id="1399287812">
                          <w:marLeft w:val="0"/>
                          <w:marRight w:val="0"/>
                          <w:marTop w:val="0"/>
                          <w:marBottom w:val="0"/>
                          <w:divBdr>
                            <w:top w:val="none" w:sz="0" w:space="0" w:color="auto"/>
                            <w:left w:val="none" w:sz="0" w:space="0" w:color="auto"/>
                            <w:bottom w:val="none" w:sz="0" w:space="0" w:color="auto"/>
                            <w:right w:val="none" w:sz="0" w:space="0" w:color="auto"/>
                          </w:divBdr>
                          <w:divsChild>
                            <w:div w:id="371610981">
                              <w:marLeft w:val="0"/>
                              <w:marRight w:val="0"/>
                              <w:marTop w:val="0"/>
                              <w:marBottom w:val="0"/>
                              <w:divBdr>
                                <w:top w:val="none" w:sz="0" w:space="0" w:color="auto"/>
                                <w:left w:val="none" w:sz="0" w:space="0" w:color="auto"/>
                                <w:bottom w:val="none" w:sz="0" w:space="0" w:color="auto"/>
                                <w:right w:val="none" w:sz="0" w:space="0" w:color="auto"/>
                              </w:divBdr>
                            </w:div>
                            <w:div w:id="1716079515">
                              <w:marLeft w:val="0"/>
                              <w:marRight w:val="0"/>
                              <w:marTop w:val="0"/>
                              <w:marBottom w:val="0"/>
                              <w:divBdr>
                                <w:top w:val="none" w:sz="0" w:space="0" w:color="auto"/>
                                <w:left w:val="none" w:sz="0" w:space="0" w:color="auto"/>
                                <w:bottom w:val="none" w:sz="0" w:space="0" w:color="auto"/>
                                <w:right w:val="none" w:sz="0" w:space="0" w:color="auto"/>
                              </w:divBdr>
                            </w:div>
                            <w:div w:id="294337349">
                              <w:marLeft w:val="0"/>
                              <w:marRight w:val="0"/>
                              <w:marTop w:val="0"/>
                              <w:marBottom w:val="0"/>
                              <w:divBdr>
                                <w:top w:val="none" w:sz="0" w:space="0" w:color="auto"/>
                                <w:left w:val="none" w:sz="0" w:space="0" w:color="auto"/>
                                <w:bottom w:val="none" w:sz="0" w:space="0" w:color="auto"/>
                                <w:right w:val="none" w:sz="0" w:space="0" w:color="auto"/>
                              </w:divBdr>
                            </w:div>
                            <w:div w:id="610665857">
                              <w:marLeft w:val="0"/>
                              <w:marRight w:val="0"/>
                              <w:marTop w:val="0"/>
                              <w:marBottom w:val="0"/>
                              <w:divBdr>
                                <w:top w:val="none" w:sz="0" w:space="0" w:color="auto"/>
                                <w:left w:val="none" w:sz="0" w:space="0" w:color="auto"/>
                                <w:bottom w:val="none" w:sz="0" w:space="0" w:color="auto"/>
                                <w:right w:val="none" w:sz="0" w:space="0" w:color="auto"/>
                              </w:divBdr>
                            </w:div>
                            <w:div w:id="1718625908">
                              <w:marLeft w:val="0"/>
                              <w:marRight w:val="0"/>
                              <w:marTop w:val="0"/>
                              <w:marBottom w:val="0"/>
                              <w:divBdr>
                                <w:top w:val="none" w:sz="0" w:space="0" w:color="auto"/>
                                <w:left w:val="none" w:sz="0" w:space="0" w:color="auto"/>
                                <w:bottom w:val="none" w:sz="0" w:space="0" w:color="auto"/>
                                <w:right w:val="none" w:sz="0" w:space="0" w:color="auto"/>
                              </w:divBdr>
                            </w:div>
                            <w:div w:id="908540748">
                              <w:marLeft w:val="0"/>
                              <w:marRight w:val="0"/>
                              <w:marTop w:val="0"/>
                              <w:marBottom w:val="0"/>
                              <w:divBdr>
                                <w:top w:val="none" w:sz="0" w:space="0" w:color="auto"/>
                                <w:left w:val="none" w:sz="0" w:space="0" w:color="auto"/>
                                <w:bottom w:val="none" w:sz="0" w:space="0" w:color="auto"/>
                                <w:right w:val="none" w:sz="0" w:space="0" w:color="auto"/>
                              </w:divBdr>
                            </w:div>
                            <w:div w:id="235089761">
                              <w:marLeft w:val="0"/>
                              <w:marRight w:val="0"/>
                              <w:marTop w:val="0"/>
                              <w:marBottom w:val="0"/>
                              <w:divBdr>
                                <w:top w:val="none" w:sz="0" w:space="0" w:color="auto"/>
                                <w:left w:val="none" w:sz="0" w:space="0" w:color="auto"/>
                                <w:bottom w:val="none" w:sz="0" w:space="0" w:color="auto"/>
                                <w:right w:val="none" w:sz="0" w:space="0" w:color="auto"/>
                              </w:divBdr>
                            </w:div>
                            <w:div w:id="938297188">
                              <w:marLeft w:val="0"/>
                              <w:marRight w:val="0"/>
                              <w:marTop w:val="0"/>
                              <w:marBottom w:val="0"/>
                              <w:divBdr>
                                <w:top w:val="none" w:sz="0" w:space="0" w:color="auto"/>
                                <w:left w:val="none" w:sz="0" w:space="0" w:color="auto"/>
                                <w:bottom w:val="none" w:sz="0" w:space="0" w:color="auto"/>
                                <w:right w:val="none" w:sz="0" w:space="0" w:color="auto"/>
                              </w:divBdr>
                            </w:div>
                            <w:div w:id="1052078036">
                              <w:marLeft w:val="0"/>
                              <w:marRight w:val="0"/>
                              <w:marTop w:val="0"/>
                              <w:marBottom w:val="0"/>
                              <w:divBdr>
                                <w:top w:val="none" w:sz="0" w:space="0" w:color="auto"/>
                                <w:left w:val="none" w:sz="0" w:space="0" w:color="auto"/>
                                <w:bottom w:val="none" w:sz="0" w:space="0" w:color="auto"/>
                                <w:right w:val="none" w:sz="0" w:space="0" w:color="auto"/>
                              </w:divBdr>
                            </w:div>
                            <w:div w:id="454520334">
                              <w:marLeft w:val="0"/>
                              <w:marRight w:val="0"/>
                              <w:marTop w:val="0"/>
                              <w:marBottom w:val="0"/>
                              <w:divBdr>
                                <w:top w:val="none" w:sz="0" w:space="0" w:color="auto"/>
                                <w:left w:val="none" w:sz="0" w:space="0" w:color="auto"/>
                                <w:bottom w:val="none" w:sz="0" w:space="0" w:color="auto"/>
                                <w:right w:val="none" w:sz="0" w:space="0" w:color="auto"/>
                              </w:divBdr>
                            </w:div>
                            <w:div w:id="2133287360">
                              <w:marLeft w:val="0"/>
                              <w:marRight w:val="0"/>
                              <w:marTop w:val="0"/>
                              <w:marBottom w:val="0"/>
                              <w:divBdr>
                                <w:top w:val="none" w:sz="0" w:space="0" w:color="auto"/>
                                <w:left w:val="none" w:sz="0" w:space="0" w:color="auto"/>
                                <w:bottom w:val="none" w:sz="0" w:space="0" w:color="auto"/>
                                <w:right w:val="none" w:sz="0" w:space="0" w:color="auto"/>
                              </w:divBdr>
                            </w:div>
                            <w:div w:id="1467233446">
                              <w:marLeft w:val="0"/>
                              <w:marRight w:val="0"/>
                              <w:marTop w:val="0"/>
                              <w:marBottom w:val="0"/>
                              <w:divBdr>
                                <w:top w:val="none" w:sz="0" w:space="0" w:color="auto"/>
                                <w:left w:val="none" w:sz="0" w:space="0" w:color="auto"/>
                                <w:bottom w:val="none" w:sz="0" w:space="0" w:color="auto"/>
                                <w:right w:val="none" w:sz="0" w:space="0" w:color="auto"/>
                              </w:divBdr>
                            </w:div>
                            <w:div w:id="663167990">
                              <w:marLeft w:val="0"/>
                              <w:marRight w:val="0"/>
                              <w:marTop w:val="0"/>
                              <w:marBottom w:val="0"/>
                              <w:divBdr>
                                <w:top w:val="none" w:sz="0" w:space="0" w:color="auto"/>
                                <w:left w:val="none" w:sz="0" w:space="0" w:color="auto"/>
                                <w:bottom w:val="none" w:sz="0" w:space="0" w:color="auto"/>
                                <w:right w:val="none" w:sz="0" w:space="0" w:color="auto"/>
                              </w:divBdr>
                            </w:div>
                            <w:div w:id="1437286774">
                              <w:marLeft w:val="0"/>
                              <w:marRight w:val="0"/>
                              <w:marTop w:val="0"/>
                              <w:marBottom w:val="0"/>
                              <w:divBdr>
                                <w:top w:val="none" w:sz="0" w:space="0" w:color="auto"/>
                                <w:left w:val="none" w:sz="0" w:space="0" w:color="auto"/>
                                <w:bottom w:val="none" w:sz="0" w:space="0" w:color="auto"/>
                                <w:right w:val="none" w:sz="0" w:space="0" w:color="auto"/>
                              </w:divBdr>
                            </w:div>
                            <w:div w:id="286475298">
                              <w:marLeft w:val="0"/>
                              <w:marRight w:val="0"/>
                              <w:marTop w:val="0"/>
                              <w:marBottom w:val="0"/>
                              <w:divBdr>
                                <w:top w:val="none" w:sz="0" w:space="0" w:color="auto"/>
                                <w:left w:val="none" w:sz="0" w:space="0" w:color="auto"/>
                                <w:bottom w:val="none" w:sz="0" w:space="0" w:color="auto"/>
                                <w:right w:val="none" w:sz="0" w:space="0" w:color="auto"/>
                              </w:divBdr>
                            </w:div>
                            <w:div w:id="5955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9035">
                      <w:marLeft w:val="0"/>
                      <w:marRight w:val="0"/>
                      <w:marTop w:val="0"/>
                      <w:marBottom w:val="0"/>
                      <w:divBdr>
                        <w:top w:val="none" w:sz="0" w:space="0" w:color="auto"/>
                        <w:left w:val="none" w:sz="0" w:space="0" w:color="auto"/>
                        <w:bottom w:val="none" w:sz="0" w:space="0" w:color="auto"/>
                        <w:right w:val="none" w:sz="0" w:space="0" w:color="auto"/>
                      </w:divBdr>
                      <w:divsChild>
                        <w:div w:id="4261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445">
              <w:marLeft w:val="0"/>
              <w:marRight w:val="0"/>
              <w:marTop w:val="0"/>
              <w:marBottom w:val="0"/>
              <w:divBdr>
                <w:top w:val="none" w:sz="0" w:space="0" w:color="auto"/>
                <w:left w:val="none" w:sz="0" w:space="0" w:color="auto"/>
                <w:bottom w:val="none" w:sz="0" w:space="0" w:color="auto"/>
                <w:right w:val="none" w:sz="0" w:space="0" w:color="auto"/>
              </w:divBdr>
              <w:divsChild>
                <w:div w:id="575172349">
                  <w:marLeft w:val="0"/>
                  <w:marRight w:val="0"/>
                  <w:marTop w:val="0"/>
                  <w:marBottom w:val="0"/>
                  <w:divBdr>
                    <w:top w:val="none" w:sz="0" w:space="0" w:color="auto"/>
                    <w:left w:val="none" w:sz="0" w:space="0" w:color="auto"/>
                    <w:bottom w:val="none" w:sz="0" w:space="0" w:color="auto"/>
                    <w:right w:val="none" w:sz="0" w:space="0" w:color="auto"/>
                  </w:divBdr>
                </w:div>
                <w:div w:id="2004892254">
                  <w:marLeft w:val="0"/>
                  <w:marRight w:val="0"/>
                  <w:marTop w:val="0"/>
                  <w:marBottom w:val="0"/>
                  <w:divBdr>
                    <w:top w:val="none" w:sz="0" w:space="0" w:color="auto"/>
                    <w:left w:val="none" w:sz="0" w:space="0" w:color="auto"/>
                    <w:bottom w:val="none" w:sz="0" w:space="0" w:color="auto"/>
                    <w:right w:val="none" w:sz="0" w:space="0" w:color="auto"/>
                  </w:divBdr>
                  <w:divsChild>
                    <w:div w:id="59182542">
                      <w:marLeft w:val="0"/>
                      <w:marRight w:val="0"/>
                      <w:marTop w:val="0"/>
                      <w:marBottom w:val="0"/>
                      <w:divBdr>
                        <w:top w:val="none" w:sz="0" w:space="0" w:color="auto"/>
                        <w:left w:val="none" w:sz="0" w:space="0" w:color="auto"/>
                        <w:bottom w:val="none" w:sz="0" w:space="0" w:color="auto"/>
                        <w:right w:val="none" w:sz="0" w:space="0" w:color="auto"/>
                      </w:divBdr>
                    </w:div>
                    <w:div w:id="6342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4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1518</Words>
  <Characters>8656</Characters>
  <Application>Microsoft Office Word</Application>
  <DocSecurity>0</DocSecurity>
  <Lines>72</Lines>
  <Paragraphs>20</Paragraphs>
  <ScaleCrop>false</ScaleCrop>
  <Company>Hewlett-Packard Company</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4</cp:revision>
  <dcterms:created xsi:type="dcterms:W3CDTF">2018-04-19T15:46:00Z</dcterms:created>
  <dcterms:modified xsi:type="dcterms:W3CDTF">2018-04-19T15:53:00Z</dcterms:modified>
</cp:coreProperties>
</file>